
<file path=[Content_Types].xml><?xml version="1.0" encoding="utf-8"?>
<Types xmlns="http://schemas.openxmlformats.org/package/2006/content-types">
  <Default Extension="xml" ContentType="application/xml"/>
  <Default Extension="png" ContentType="image/png"/>
  <Default Extension="jpeg" ContentType="image/jpe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after="0" w:line="240" w:lineRule="auto"/>
      </w:pPr>
      <w:bookmarkStart w:id="1" w:name="_GoBack"/>
      <w:bookmarkEnd w:id="1"/>
      <w:bookmarkStart w:id="0" w:name="_Hlk7447757"/>
      <w:bookmarkEnd w:id="0"/>
      <w:r>
        <w:rPr>
          <w:lang w:eastAsia="en-GB"/>
        </w:rPr>
        <w:drawing>
          <wp:anchor distT="0" distB="0" distL="114300" distR="114300" simplePos="0" relativeHeight="251659264" behindDoc="0" locked="0" layoutInCell="1" allowOverlap="1">
            <wp:simplePos x="0" y="0"/>
            <wp:positionH relativeFrom="column">
              <wp:posOffset>2354580</wp:posOffset>
            </wp:positionH>
            <wp:positionV relativeFrom="paragraph">
              <wp:posOffset>-312420</wp:posOffset>
            </wp:positionV>
            <wp:extent cx="895350" cy="89535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5">
                      <a:extLst>
                        <a:ext uri="{28A0092B-C50C-407E-A947-70E740481C1C}">
                          <a14:useLocalDpi xmlns:a14="http://schemas.microsoft.com/office/drawing/2010/main" val="0"/>
                        </a:ext>
                      </a:extLst>
                    </a:blip>
                    <a:stretch>
                      <a:fillRect/>
                    </a:stretch>
                  </pic:blipFill>
                  <pic:spPr>
                    <a:xfrm>
                      <a:off x="0" y="0"/>
                      <a:ext cx="895350" cy="895350"/>
                    </a:xfrm>
                    <a:prstGeom prst="rect">
                      <a:avLst/>
                    </a:prstGeom>
                  </pic:spPr>
                </pic:pic>
              </a:graphicData>
            </a:graphic>
          </wp:anchor>
        </w:drawing>
      </w:r>
    </w:p>
    <w:p>
      <w:pPr>
        <w:spacing w:after="0" w:line="240" w:lineRule="auto"/>
      </w:pPr>
    </w:p>
    <w:p>
      <w:pPr>
        <w:spacing w:after="0" w:line="240" w:lineRule="auto"/>
      </w:pPr>
    </w:p>
    <w:p>
      <w:pPr>
        <w:spacing w:after="0" w:line="240" w:lineRule="auto"/>
        <w:jc w:val="center"/>
        <w:rPr>
          <w:b/>
          <w:color w:val="000000" w:themeColor="text1"/>
          <w14:textFill>
            <w14:solidFill>
              <w14:schemeClr w14:val="tx1"/>
            </w14:solidFill>
          </w14:textFill>
        </w:rPr>
      </w:pPr>
    </w:p>
    <w:p>
      <w:pPr>
        <w:spacing w:after="0" w:line="240" w:lineRule="auto"/>
        <w:jc w:val="center"/>
        <w:rPr>
          <w:b/>
          <w:sz w:val="24"/>
          <w:szCs w:val="24"/>
        </w:rPr>
      </w:pPr>
      <w:r>
        <w:rPr>
          <w:b/>
          <w:sz w:val="24"/>
          <w:szCs w:val="24"/>
        </w:rPr>
        <w:t>Stroke - 3</w:t>
      </w:r>
    </w:p>
    <w:p>
      <w:pPr>
        <w:spacing w:after="0" w:line="240" w:lineRule="auto"/>
        <w:rPr>
          <w:b/>
          <w:sz w:val="24"/>
          <w:szCs w:val="24"/>
        </w:rPr>
      </w:pPr>
    </w:p>
    <w:p>
      <w:pPr>
        <w:spacing w:after="0" w:line="240" w:lineRule="auto"/>
      </w:pPr>
      <w:r>
        <w:rPr>
          <w:color w:val="000000"/>
        </w:rPr>
        <w:drawing>
          <wp:anchor distT="0" distB="0" distL="114300" distR="114300" simplePos="0" relativeHeight="251660288" behindDoc="1" locked="0" layoutInCell="1" allowOverlap="1">
            <wp:simplePos x="0" y="0"/>
            <wp:positionH relativeFrom="margin">
              <wp:align>left</wp:align>
            </wp:positionH>
            <wp:positionV relativeFrom="paragraph">
              <wp:posOffset>4445</wp:posOffset>
            </wp:positionV>
            <wp:extent cx="1510030" cy="1510030"/>
            <wp:effectExtent l="0" t="0" r="0" b="0"/>
            <wp:wrapTight wrapText="bothSides">
              <wp:wrapPolygon>
                <wp:start x="0" y="0"/>
                <wp:lineTo x="0" y="21255"/>
                <wp:lineTo x="21255" y="21255"/>
                <wp:lineTo x="21255"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pic:cNvPicPr>
                  </pic:nvPicPr>
                  <pic:blipFill>
                    <a:blip r:embed="rId6">
                      <a:extLst>
                        <a:ext uri="{28A0092B-C50C-407E-A947-70E740481C1C}">
                          <a14:useLocalDpi xmlns:a14="http://schemas.microsoft.com/office/drawing/2010/main" val="0"/>
                        </a:ext>
                      </a:extLst>
                    </a:blip>
                    <a:stretch>
                      <a:fillRect/>
                    </a:stretch>
                  </pic:blipFill>
                  <pic:spPr>
                    <a:xfrm>
                      <a:off x="0" y="0"/>
                      <a:ext cx="1510260" cy="1510260"/>
                    </a:xfrm>
                    <a:prstGeom prst="rect">
                      <a:avLst/>
                    </a:prstGeom>
                  </pic:spPr>
                </pic:pic>
              </a:graphicData>
            </a:graphic>
          </wp:anchor>
        </w:drawing>
      </w:r>
      <w:r>
        <w:t>Both the diagnosis and care of stroke victims is a key issue for health professionals in the UK; today there are over a million stroke survivors that are discharged from hospitals who need care. It is a condition that is currently one of the largest causes of disability, and one third of survivors require help with daily activities from others, such as professional carers, family, and friends. We have provided a list of relevant articles from MA Healthcare journals dealing with stroke, thereby providing your NHS staff with research, information and tips that will support both their work and the care of their patients.</w:t>
      </w:r>
    </w:p>
    <w:p>
      <w:pPr>
        <w:spacing w:after="0" w:line="240" w:lineRule="auto"/>
      </w:pPr>
    </w:p>
    <w:p>
      <w:pPr>
        <w:spacing w:after="0" w:line="240" w:lineRule="auto"/>
        <w:rPr>
          <w:b/>
          <w:bCs/>
        </w:rPr>
      </w:pPr>
      <w:r>
        <w:rPr>
          <w:b/>
          <w:bCs/>
        </w:rPr>
        <w:t>British Journal of Cardiac Nursing</w:t>
      </w:r>
    </w:p>
    <w:p>
      <w:pPr>
        <w:spacing w:after="0" w:line="240" w:lineRule="auto"/>
        <w:rPr>
          <w:b/>
          <w:bCs/>
        </w:rPr>
      </w:pPr>
    </w:p>
    <w:p>
      <w:pPr>
        <w:pStyle w:val="10"/>
        <w:numPr>
          <w:ilvl w:val="0"/>
          <w:numId w:val="1"/>
        </w:numPr>
        <w:shd w:val="clear" w:color="auto" w:fill="FFFFFF"/>
        <w:spacing w:after="0" w:line="240" w:lineRule="auto"/>
        <w:outlineLvl w:val="0"/>
        <w:rPr>
          <w:rFonts w:eastAsia="Times New Roman" w:cs="Times New Roman"/>
          <w:color w:val="000000"/>
          <w:kern w:val="36"/>
          <w:lang w:eastAsia="en-GB"/>
        </w:rPr>
      </w:pPr>
      <w:r>
        <w:rPr>
          <w:rFonts w:eastAsia="Times New Roman" w:cs="Times New Roman"/>
          <w:color w:val="000000"/>
          <w:kern w:val="36"/>
          <w:lang w:eastAsia="en-GB"/>
        </w:rPr>
        <w:t>Atrial fibrillation: studies highlight thromboembolic risk in cardioversion and adherence to use of oral anticoagulation</w:t>
      </w:r>
    </w:p>
    <w:p>
      <w:pPr>
        <w:pStyle w:val="10"/>
        <w:shd w:val="clear" w:color="auto" w:fill="FFFFFF"/>
        <w:spacing w:after="0" w:line="240" w:lineRule="auto"/>
        <w:rPr>
          <w:rFonts w:eastAsia="Times New Roman" w:cs="Times New Roman"/>
          <w:color w:val="000000"/>
          <w:lang w:eastAsia="en-GB"/>
        </w:rPr>
      </w:pPr>
      <w:r>
        <w:rPr>
          <w:rFonts w:eastAsia="Times New Roman" w:cs="Times New Roman"/>
          <w:color w:val="000000"/>
          <w:lang w:eastAsia="en-GB"/>
        </w:rPr>
        <w:t>Published Online:8 Nov 2019</w:t>
      </w:r>
    </w:p>
    <w:p>
      <w:pPr>
        <w:pStyle w:val="10"/>
        <w:shd w:val="clear" w:color="auto" w:fill="FFFFFF"/>
        <w:spacing w:after="0" w:line="240" w:lineRule="auto"/>
        <w:rPr>
          <w:rFonts w:eastAsia="Times New Roman" w:cs="Times New Roman"/>
          <w:color w:val="2D2F7F"/>
          <w:u w:val="single"/>
          <w:lang w:eastAsia="en-GB"/>
        </w:rPr>
      </w:pPr>
      <w:r>
        <w:fldChar w:fldCharType="begin"/>
      </w:r>
      <w:r>
        <w:instrText xml:space="preserve"> HYPERLINK "https://doi.org/10.12968/bjca.2019.0111" </w:instrText>
      </w:r>
      <w:r>
        <w:fldChar w:fldCharType="separate"/>
      </w:r>
      <w:r>
        <w:rPr>
          <w:rStyle w:val="8"/>
          <w:rFonts w:eastAsia="Times New Roman" w:cs="Times New Roman"/>
          <w:lang w:eastAsia="en-GB"/>
        </w:rPr>
        <w:t>https://doi.org/10.12968/bjca.2019.0111</w:t>
      </w:r>
      <w:r>
        <w:rPr>
          <w:rStyle w:val="8"/>
          <w:rFonts w:eastAsia="Times New Roman" w:cs="Times New Roman"/>
          <w:lang w:eastAsia="en-GB"/>
        </w:rPr>
        <w:fldChar w:fldCharType="end"/>
      </w:r>
    </w:p>
    <w:p>
      <w:pPr>
        <w:shd w:val="clear" w:color="auto" w:fill="FFFFFF"/>
        <w:spacing w:after="0" w:line="240" w:lineRule="auto"/>
        <w:rPr>
          <w:rFonts w:eastAsia="Times New Roman" w:cs="Times New Roman"/>
          <w:color w:val="000000"/>
          <w:lang w:eastAsia="en-GB"/>
        </w:rPr>
      </w:pPr>
    </w:p>
    <w:p>
      <w:pPr>
        <w:pStyle w:val="2"/>
        <w:numPr>
          <w:ilvl w:val="0"/>
          <w:numId w:val="1"/>
        </w:numPr>
        <w:shd w:val="clear" w:color="auto" w:fill="FFFFFF"/>
        <w:spacing w:before="0" w:beforeAutospacing="0" w:after="0" w:afterAutospacing="0"/>
        <w:rPr>
          <w:rFonts w:asciiTheme="minorHAnsi" w:hAnsiTheme="minorHAnsi"/>
          <w:b w:val="0"/>
          <w:bCs w:val="0"/>
          <w:color w:val="000000"/>
          <w:sz w:val="22"/>
          <w:szCs w:val="22"/>
        </w:rPr>
      </w:pPr>
      <w:r>
        <w:rPr>
          <w:rFonts w:asciiTheme="minorHAnsi" w:hAnsiTheme="minorHAnsi"/>
          <w:b w:val="0"/>
          <w:bCs w:val="0"/>
          <w:color w:val="000000"/>
          <w:sz w:val="22"/>
          <w:szCs w:val="22"/>
        </w:rPr>
        <w:t>Antiarrhythmic drugs. Part 1: an overview</w:t>
      </w:r>
    </w:p>
    <w:p>
      <w:pPr>
        <w:pStyle w:val="10"/>
        <w:shd w:val="clear" w:color="auto" w:fill="FFFFFF"/>
        <w:spacing w:after="0" w:line="240" w:lineRule="auto"/>
        <w:rPr>
          <w:rStyle w:val="21"/>
        </w:rPr>
      </w:pPr>
      <w:r>
        <w:rPr>
          <w:rStyle w:val="20"/>
          <w:color w:val="000000"/>
        </w:rPr>
        <w:t>Published Online:</w:t>
      </w:r>
      <w:r>
        <w:rPr>
          <w:rStyle w:val="21"/>
          <w:color w:val="000000"/>
        </w:rPr>
        <w:t>3 Sep 2019</w:t>
      </w:r>
    </w:p>
    <w:p>
      <w:pPr>
        <w:pStyle w:val="10"/>
        <w:shd w:val="clear" w:color="auto" w:fill="FFFFFF"/>
        <w:spacing w:after="0" w:line="240" w:lineRule="auto"/>
        <w:rPr>
          <w:rStyle w:val="19"/>
        </w:rPr>
      </w:pPr>
      <w:r>
        <w:fldChar w:fldCharType="begin"/>
      </w:r>
      <w:r>
        <w:instrText xml:space="preserve"> HYPERLINK "https://doi.org/10.12968/bjca.2019.0057" </w:instrText>
      </w:r>
      <w:r>
        <w:fldChar w:fldCharType="separate"/>
      </w:r>
      <w:r>
        <w:rPr>
          <w:rStyle w:val="8"/>
        </w:rPr>
        <w:t>https://doi.org/10.12968/bjca.2019.0057</w:t>
      </w:r>
      <w:r>
        <w:rPr>
          <w:rStyle w:val="8"/>
        </w:rPr>
        <w:fldChar w:fldCharType="end"/>
      </w:r>
    </w:p>
    <w:p>
      <w:pPr>
        <w:shd w:val="clear" w:color="auto" w:fill="FFFFFF"/>
        <w:spacing w:after="0" w:line="240" w:lineRule="auto"/>
        <w:rPr>
          <w:color w:val="000000"/>
        </w:rPr>
      </w:pPr>
    </w:p>
    <w:p>
      <w:pPr>
        <w:pStyle w:val="2"/>
        <w:numPr>
          <w:ilvl w:val="0"/>
          <w:numId w:val="1"/>
        </w:numPr>
        <w:shd w:val="clear" w:color="auto" w:fill="FFFFFF"/>
        <w:spacing w:before="0" w:beforeAutospacing="0" w:after="0" w:afterAutospacing="0"/>
        <w:rPr>
          <w:rFonts w:asciiTheme="minorHAnsi" w:hAnsiTheme="minorHAnsi"/>
          <w:b w:val="0"/>
          <w:bCs w:val="0"/>
          <w:color w:val="000000"/>
          <w:sz w:val="22"/>
          <w:szCs w:val="22"/>
        </w:rPr>
      </w:pPr>
      <w:r>
        <w:rPr>
          <w:rFonts w:asciiTheme="minorHAnsi" w:hAnsiTheme="minorHAnsi"/>
          <w:b w:val="0"/>
          <w:bCs w:val="0"/>
          <w:color w:val="000000"/>
          <w:sz w:val="22"/>
          <w:szCs w:val="22"/>
        </w:rPr>
        <w:t>Antiarrhythmic drugs part 2: rhythm-control drugs</w:t>
      </w:r>
    </w:p>
    <w:p>
      <w:pPr>
        <w:pStyle w:val="10"/>
        <w:shd w:val="clear" w:color="auto" w:fill="FFFFFF"/>
        <w:spacing w:after="0" w:line="240" w:lineRule="auto"/>
        <w:rPr>
          <w:rStyle w:val="21"/>
        </w:rPr>
      </w:pPr>
      <w:r>
        <w:rPr>
          <w:rStyle w:val="20"/>
          <w:color w:val="000000"/>
        </w:rPr>
        <w:t>Published Online:</w:t>
      </w:r>
      <w:r>
        <w:rPr>
          <w:rStyle w:val="21"/>
          <w:color w:val="000000"/>
        </w:rPr>
        <w:t>12 Oct 2019</w:t>
      </w:r>
    </w:p>
    <w:p>
      <w:pPr>
        <w:pStyle w:val="10"/>
        <w:shd w:val="clear" w:color="auto" w:fill="FFFFFF"/>
        <w:spacing w:after="0" w:line="240" w:lineRule="auto"/>
      </w:pPr>
      <w:r>
        <w:fldChar w:fldCharType="begin"/>
      </w:r>
      <w:r>
        <w:instrText xml:space="preserve"> HYPERLINK "https://doi.org/10.12968/bjca.2019.0067" </w:instrText>
      </w:r>
      <w:r>
        <w:fldChar w:fldCharType="separate"/>
      </w:r>
      <w:r>
        <w:rPr>
          <w:rStyle w:val="8"/>
        </w:rPr>
        <w:t>https://doi.org/10.12968/bjca.2019.0067</w:t>
      </w:r>
      <w:r>
        <w:rPr>
          <w:rStyle w:val="8"/>
        </w:rPr>
        <w:fldChar w:fldCharType="end"/>
      </w:r>
    </w:p>
    <w:p>
      <w:pPr>
        <w:pStyle w:val="2"/>
        <w:shd w:val="clear" w:color="auto" w:fill="FFFFFF"/>
        <w:spacing w:before="0" w:beforeAutospacing="0" w:after="0" w:afterAutospacing="0"/>
        <w:rPr>
          <w:rFonts w:asciiTheme="minorHAnsi" w:hAnsiTheme="minorHAnsi"/>
          <w:b w:val="0"/>
          <w:bCs w:val="0"/>
          <w:color w:val="000000"/>
          <w:sz w:val="22"/>
          <w:szCs w:val="22"/>
        </w:rPr>
      </w:pPr>
    </w:p>
    <w:p>
      <w:pPr>
        <w:pStyle w:val="2"/>
        <w:numPr>
          <w:ilvl w:val="0"/>
          <w:numId w:val="1"/>
        </w:numPr>
        <w:shd w:val="clear" w:color="auto" w:fill="FFFFFF"/>
        <w:spacing w:before="0" w:beforeAutospacing="0" w:after="0" w:afterAutospacing="0"/>
        <w:rPr>
          <w:rFonts w:asciiTheme="minorHAnsi" w:hAnsiTheme="minorHAnsi"/>
          <w:b w:val="0"/>
          <w:bCs w:val="0"/>
          <w:color w:val="000000"/>
          <w:sz w:val="22"/>
          <w:szCs w:val="22"/>
        </w:rPr>
      </w:pPr>
      <w:r>
        <w:rPr>
          <w:rFonts w:asciiTheme="minorHAnsi" w:hAnsiTheme="minorHAnsi"/>
          <w:b w:val="0"/>
          <w:bCs w:val="0"/>
          <w:color w:val="000000"/>
          <w:sz w:val="22"/>
          <w:szCs w:val="22"/>
        </w:rPr>
        <w:t>Antiarrhythmic drugs. Part 3: rate-control drugs</w:t>
      </w:r>
    </w:p>
    <w:p>
      <w:pPr>
        <w:pStyle w:val="10"/>
        <w:shd w:val="clear" w:color="auto" w:fill="FFFFFF"/>
        <w:spacing w:after="0" w:line="240" w:lineRule="auto"/>
        <w:rPr>
          <w:rStyle w:val="21"/>
        </w:rPr>
      </w:pPr>
      <w:r>
        <w:rPr>
          <w:rStyle w:val="20"/>
          <w:color w:val="000000"/>
        </w:rPr>
        <w:t>Published Online:</w:t>
      </w:r>
      <w:r>
        <w:rPr>
          <w:rStyle w:val="21"/>
          <w:color w:val="000000"/>
        </w:rPr>
        <w:t>8 Nov 2019</w:t>
      </w:r>
    </w:p>
    <w:p>
      <w:pPr>
        <w:pStyle w:val="10"/>
        <w:shd w:val="clear" w:color="auto" w:fill="FFFFFF"/>
        <w:spacing w:after="0" w:line="240" w:lineRule="auto"/>
      </w:pPr>
      <w:r>
        <w:fldChar w:fldCharType="begin"/>
      </w:r>
      <w:r>
        <w:instrText xml:space="preserve"> HYPERLINK "https://doi.org/10.12968/bjca.2019.0079" </w:instrText>
      </w:r>
      <w:r>
        <w:fldChar w:fldCharType="separate"/>
      </w:r>
      <w:r>
        <w:rPr>
          <w:rStyle w:val="8"/>
        </w:rPr>
        <w:t>https://doi.org/10.12968/bjca.2019.0079</w:t>
      </w:r>
      <w:r>
        <w:rPr>
          <w:rStyle w:val="8"/>
        </w:rPr>
        <w:fldChar w:fldCharType="end"/>
      </w:r>
    </w:p>
    <w:p>
      <w:pPr>
        <w:spacing w:after="0" w:line="240" w:lineRule="auto"/>
      </w:pPr>
    </w:p>
    <w:p>
      <w:pPr>
        <w:spacing w:after="0" w:line="240" w:lineRule="auto"/>
        <w:rPr>
          <w:b/>
          <w:bCs/>
        </w:rPr>
      </w:pPr>
      <w:r>
        <w:rPr>
          <w:b/>
          <w:bCs/>
        </w:rPr>
        <w:t>British Journal of Community Nursing</w:t>
      </w:r>
    </w:p>
    <w:p>
      <w:pPr>
        <w:spacing w:after="0" w:line="240" w:lineRule="auto"/>
        <w:rPr>
          <w:b/>
          <w:bCs/>
        </w:rPr>
      </w:pPr>
    </w:p>
    <w:p>
      <w:pPr>
        <w:pStyle w:val="10"/>
        <w:numPr>
          <w:ilvl w:val="0"/>
          <w:numId w:val="1"/>
        </w:numPr>
        <w:shd w:val="clear" w:color="auto" w:fill="FFFFFF"/>
        <w:spacing w:after="0" w:line="240" w:lineRule="auto"/>
        <w:outlineLvl w:val="0"/>
        <w:rPr>
          <w:rFonts w:eastAsia="Times New Roman" w:cs="Times New Roman"/>
          <w:color w:val="000000" w:themeColor="text1"/>
          <w:kern w:val="36"/>
          <w:lang w:eastAsia="en-GB"/>
          <w14:textFill>
            <w14:solidFill>
              <w14:schemeClr w14:val="tx1"/>
            </w14:solidFill>
          </w14:textFill>
        </w:rPr>
      </w:pPr>
      <w:r>
        <w:fldChar w:fldCharType="begin"/>
      </w:r>
      <w:r>
        <w:instrText xml:space="preserve"> HYPERLINK "https://www.magonlinelibrary.com/doi/full/10.12968/bjcn.2019.24.12.590" \o "Urinary incontience after stroke" </w:instrText>
      </w:r>
      <w:r>
        <w:fldChar w:fldCharType="separate"/>
      </w:r>
      <w:r>
        <w:rPr>
          <w:rStyle w:val="8"/>
          <w:rFonts w:eastAsia="Times New Roman" w:cs="Times New Roman"/>
          <w:color w:val="000000" w:themeColor="text1"/>
          <w:kern w:val="36"/>
          <w:u w:val="none"/>
          <w:lang w:eastAsia="en-GB"/>
          <w14:textFill>
            <w14:solidFill>
              <w14:schemeClr w14:val="tx1"/>
            </w14:solidFill>
          </w14:textFill>
        </w:rPr>
        <w:t>Urinary incontinence after stroke</w:t>
      </w:r>
      <w:r>
        <w:rPr>
          <w:rStyle w:val="8"/>
          <w:rFonts w:eastAsia="Times New Roman" w:cs="Times New Roman"/>
          <w:color w:val="000000" w:themeColor="text1"/>
          <w:kern w:val="36"/>
          <w:u w:val="none"/>
          <w:lang w:eastAsia="en-GB"/>
          <w14:textFill>
            <w14:solidFill>
              <w14:schemeClr w14:val="tx1"/>
            </w14:solidFill>
          </w14:textFill>
        </w:rPr>
        <w:fldChar w:fldCharType="end"/>
      </w:r>
    </w:p>
    <w:p>
      <w:pPr>
        <w:pStyle w:val="10"/>
        <w:shd w:val="clear" w:color="auto" w:fill="FFFFFF"/>
        <w:spacing w:after="0" w:line="240" w:lineRule="auto"/>
        <w:rPr>
          <w:rFonts w:eastAsia="Times New Roman" w:cs="Times New Roman"/>
          <w:color w:val="000000"/>
          <w:lang w:eastAsia="en-GB"/>
        </w:rPr>
      </w:pPr>
      <w:r>
        <w:rPr>
          <w:rFonts w:eastAsia="Times New Roman" w:cs="Times New Roman"/>
          <w:color w:val="000000"/>
          <w:lang w:eastAsia="en-GB"/>
        </w:rPr>
        <w:t>Published Online:4 Dec 2019</w:t>
      </w:r>
    </w:p>
    <w:p>
      <w:pPr>
        <w:pStyle w:val="10"/>
        <w:shd w:val="clear" w:color="auto" w:fill="FFFFFF"/>
        <w:spacing w:after="0" w:line="240" w:lineRule="auto"/>
        <w:rPr>
          <w:rFonts w:eastAsia="Times New Roman" w:cs="Times New Roman"/>
          <w:color w:val="000000"/>
          <w:lang w:eastAsia="en-GB"/>
        </w:rPr>
      </w:pPr>
      <w:r>
        <w:fldChar w:fldCharType="begin"/>
      </w:r>
      <w:r>
        <w:instrText xml:space="preserve"> HYPERLINK "https://doi.org/10.12968/bjcn.2019.24.12.590" </w:instrText>
      </w:r>
      <w:r>
        <w:fldChar w:fldCharType="separate"/>
      </w:r>
      <w:r>
        <w:rPr>
          <w:rStyle w:val="8"/>
          <w:rFonts w:eastAsia="Times New Roman" w:cs="Times New Roman"/>
          <w:lang w:eastAsia="en-GB"/>
        </w:rPr>
        <w:t>https://doi.org/10.12968/bjcn.2019.24.12.590</w:t>
      </w:r>
      <w:r>
        <w:rPr>
          <w:rStyle w:val="8"/>
          <w:rFonts w:eastAsia="Times New Roman" w:cs="Times New Roman"/>
          <w:lang w:eastAsia="en-GB"/>
        </w:rPr>
        <w:fldChar w:fldCharType="end"/>
      </w:r>
    </w:p>
    <w:p>
      <w:pPr>
        <w:spacing w:after="0" w:line="240" w:lineRule="auto"/>
      </w:pPr>
    </w:p>
    <w:p>
      <w:pPr>
        <w:spacing w:after="0" w:line="240" w:lineRule="auto"/>
        <w:rPr>
          <w:b/>
          <w:bCs/>
        </w:rPr>
      </w:pPr>
      <w:r>
        <w:rPr>
          <w:b/>
          <w:bCs/>
        </w:rPr>
        <w:t>British Journal of Hospital Medicine</w:t>
      </w:r>
    </w:p>
    <w:p>
      <w:pPr>
        <w:spacing w:after="0" w:line="240" w:lineRule="auto"/>
        <w:rPr>
          <w:b/>
          <w:bCs/>
        </w:rPr>
      </w:pPr>
    </w:p>
    <w:p>
      <w:pPr>
        <w:pStyle w:val="10"/>
        <w:numPr>
          <w:ilvl w:val="0"/>
          <w:numId w:val="1"/>
        </w:numPr>
        <w:shd w:val="clear" w:color="auto" w:fill="FFFFFF"/>
        <w:spacing w:after="0" w:line="240" w:lineRule="auto"/>
        <w:outlineLvl w:val="0"/>
        <w:rPr>
          <w:rFonts w:eastAsia="Times New Roman" w:cs="Times New Roman"/>
          <w:color w:val="000000"/>
          <w:kern w:val="36"/>
          <w:lang w:eastAsia="en-GB"/>
        </w:rPr>
      </w:pPr>
      <w:r>
        <w:rPr>
          <w:rFonts w:eastAsia="Times New Roman" w:cs="Times New Roman"/>
          <w:color w:val="000000"/>
          <w:kern w:val="36"/>
          <w:lang w:eastAsia="en-GB"/>
        </w:rPr>
        <w:t>Stroke warning syndromes</w:t>
      </w:r>
    </w:p>
    <w:p>
      <w:pPr>
        <w:pStyle w:val="10"/>
        <w:shd w:val="clear" w:color="auto" w:fill="FFFFFF"/>
        <w:spacing w:after="0" w:line="240" w:lineRule="auto"/>
        <w:rPr>
          <w:rFonts w:eastAsia="Times New Roman" w:cs="Times New Roman"/>
          <w:color w:val="000000"/>
          <w:lang w:eastAsia="en-GB"/>
        </w:rPr>
      </w:pPr>
      <w:r>
        <w:rPr>
          <w:rFonts w:eastAsia="Times New Roman" w:cs="Times New Roman"/>
          <w:color w:val="000000"/>
          <w:lang w:eastAsia="en-GB"/>
        </w:rPr>
        <w:t>Published Online:28 Jan 2020</w:t>
      </w:r>
    </w:p>
    <w:p>
      <w:pPr>
        <w:pStyle w:val="10"/>
        <w:shd w:val="clear" w:color="auto" w:fill="FFFFFF"/>
        <w:spacing w:after="0" w:line="240" w:lineRule="auto"/>
        <w:rPr>
          <w:rFonts w:eastAsia="Times New Roman" w:cs="Times New Roman"/>
          <w:color w:val="000000"/>
          <w:lang w:eastAsia="en-GB"/>
        </w:rPr>
      </w:pPr>
      <w:r>
        <w:fldChar w:fldCharType="begin"/>
      </w:r>
      <w:r>
        <w:instrText xml:space="preserve"> HYPERLINK "https://doi.org/10.12968/hmed.2019.0222" </w:instrText>
      </w:r>
      <w:r>
        <w:fldChar w:fldCharType="separate"/>
      </w:r>
      <w:r>
        <w:rPr>
          <w:rStyle w:val="8"/>
          <w:rFonts w:eastAsia="Times New Roman" w:cs="Times New Roman"/>
          <w:lang w:eastAsia="en-GB"/>
        </w:rPr>
        <w:t>https://doi.org/10.12968/hmed.2019.0222</w:t>
      </w:r>
      <w:r>
        <w:rPr>
          <w:rStyle w:val="8"/>
          <w:rFonts w:eastAsia="Times New Roman" w:cs="Times New Roman"/>
          <w:lang w:eastAsia="en-GB"/>
        </w:rPr>
        <w:fldChar w:fldCharType="end"/>
      </w:r>
    </w:p>
    <w:p>
      <w:pPr>
        <w:shd w:val="clear" w:color="auto" w:fill="FFFFFF"/>
        <w:spacing w:after="0" w:line="240" w:lineRule="auto"/>
        <w:outlineLvl w:val="0"/>
        <w:rPr>
          <w:rFonts w:eastAsia="Times New Roman" w:cs="Times New Roman"/>
          <w:color w:val="000000"/>
          <w:kern w:val="36"/>
          <w:lang w:eastAsia="en-GB"/>
        </w:rPr>
      </w:pPr>
    </w:p>
    <w:p>
      <w:pPr>
        <w:pStyle w:val="10"/>
        <w:numPr>
          <w:ilvl w:val="0"/>
          <w:numId w:val="1"/>
        </w:numPr>
        <w:shd w:val="clear" w:color="auto" w:fill="FFFFFF"/>
        <w:spacing w:after="0" w:line="240" w:lineRule="auto"/>
        <w:outlineLvl w:val="0"/>
        <w:rPr>
          <w:rFonts w:eastAsia="Times New Roman" w:cs="Times New Roman"/>
          <w:color w:val="000000"/>
          <w:kern w:val="36"/>
          <w:lang w:eastAsia="en-GB"/>
        </w:rPr>
      </w:pPr>
      <w:r>
        <w:rPr>
          <w:rFonts w:eastAsia="Times New Roman" w:cs="Times New Roman"/>
          <w:color w:val="000000"/>
          <w:kern w:val="36"/>
          <w:lang w:eastAsia="en-GB"/>
        </w:rPr>
        <w:t>Reducing delays to administration of prothrombin complex concentrate in patients with vitamin K antagonist-related intracerebral haemorrhage</w:t>
      </w:r>
    </w:p>
    <w:p>
      <w:pPr>
        <w:pStyle w:val="10"/>
        <w:shd w:val="clear" w:color="auto" w:fill="FFFFFF"/>
        <w:spacing w:after="0" w:line="240" w:lineRule="auto"/>
        <w:rPr>
          <w:rFonts w:eastAsia="Times New Roman" w:cs="Times New Roman"/>
          <w:color w:val="000000"/>
          <w:lang w:eastAsia="en-GB"/>
        </w:rPr>
      </w:pPr>
      <w:r>
        <w:rPr>
          <w:rFonts w:eastAsia="Times New Roman" w:cs="Times New Roman"/>
          <w:color w:val="000000"/>
          <w:lang w:eastAsia="en-GB"/>
        </w:rPr>
        <w:t>Published Online:13 Feb 2020</w:t>
      </w:r>
    </w:p>
    <w:p>
      <w:pPr>
        <w:pStyle w:val="10"/>
        <w:shd w:val="clear" w:color="auto" w:fill="FFFFFF"/>
        <w:spacing w:after="0" w:line="240" w:lineRule="auto"/>
        <w:rPr>
          <w:rFonts w:eastAsia="Times New Roman" w:cs="Times New Roman"/>
          <w:color w:val="000000"/>
          <w:lang w:eastAsia="en-GB"/>
        </w:rPr>
      </w:pPr>
      <w:r>
        <w:fldChar w:fldCharType="begin"/>
      </w:r>
      <w:r>
        <w:instrText xml:space="preserve"> HYPERLINK "https://doi.org/10.12968/hmed.2020.0007" </w:instrText>
      </w:r>
      <w:r>
        <w:fldChar w:fldCharType="separate"/>
      </w:r>
      <w:r>
        <w:rPr>
          <w:rStyle w:val="8"/>
          <w:rFonts w:eastAsia="Times New Roman" w:cs="Times New Roman"/>
          <w:lang w:eastAsia="en-GB"/>
        </w:rPr>
        <w:t>https://doi.org/10.12968/hmed.2020.0007</w:t>
      </w:r>
      <w:r>
        <w:rPr>
          <w:rStyle w:val="8"/>
          <w:rFonts w:eastAsia="Times New Roman" w:cs="Times New Roman"/>
          <w:lang w:eastAsia="en-GB"/>
        </w:rPr>
        <w:fldChar w:fldCharType="end"/>
      </w:r>
    </w:p>
    <w:p>
      <w:pPr>
        <w:shd w:val="clear" w:color="auto" w:fill="FFFFFF"/>
        <w:spacing w:after="0" w:line="240" w:lineRule="auto"/>
        <w:outlineLvl w:val="0"/>
        <w:rPr>
          <w:rFonts w:eastAsia="Times New Roman" w:cs="Times New Roman"/>
          <w:color w:val="000000"/>
          <w:kern w:val="36"/>
          <w:lang w:eastAsia="en-GB"/>
        </w:rPr>
      </w:pPr>
    </w:p>
    <w:p>
      <w:pPr>
        <w:pStyle w:val="10"/>
        <w:numPr>
          <w:ilvl w:val="0"/>
          <w:numId w:val="1"/>
        </w:numPr>
        <w:shd w:val="clear" w:color="auto" w:fill="FFFFFF"/>
        <w:spacing w:after="0" w:line="240" w:lineRule="auto"/>
        <w:outlineLvl w:val="0"/>
        <w:rPr>
          <w:rFonts w:eastAsia="Times New Roman" w:cs="Times New Roman"/>
          <w:color w:val="000000"/>
          <w:kern w:val="36"/>
          <w:lang w:eastAsia="en-GB"/>
        </w:rPr>
      </w:pPr>
      <w:r>
        <w:rPr>
          <w:rFonts w:eastAsia="Times New Roman" w:cs="Times New Roman"/>
          <w:color w:val="000000"/>
          <w:kern w:val="36"/>
          <w:lang w:eastAsia="en-GB"/>
        </w:rPr>
        <w:t>Reversible cerebral vasoconstriction syndrome after sudden caffeine withdrawa</w:t>
      </w:r>
    </w:p>
    <w:p>
      <w:pPr>
        <w:pStyle w:val="10"/>
        <w:shd w:val="clear" w:color="auto" w:fill="FFFFFF"/>
        <w:spacing w:after="0" w:line="240" w:lineRule="auto"/>
        <w:rPr>
          <w:rFonts w:eastAsia="Times New Roman" w:cs="Times New Roman"/>
          <w:color w:val="000000"/>
          <w:lang w:eastAsia="en-GB"/>
        </w:rPr>
      </w:pPr>
      <w:r>
        <w:rPr>
          <w:rFonts w:eastAsia="Times New Roman" w:cs="Times New Roman"/>
          <w:color w:val="000000"/>
          <w:lang w:eastAsia="en-GB"/>
        </w:rPr>
        <w:t>Published Online:10 Dec 2019</w:t>
      </w:r>
    </w:p>
    <w:p>
      <w:pPr>
        <w:pStyle w:val="10"/>
        <w:shd w:val="clear" w:color="auto" w:fill="FFFFFF"/>
        <w:spacing w:after="0" w:line="240" w:lineRule="auto"/>
        <w:rPr>
          <w:rFonts w:eastAsia="Times New Roman" w:cs="Times New Roman"/>
          <w:color w:val="000000"/>
          <w:lang w:eastAsia="en-GB"/>
        </w:rPr>
      </w:pPr>
      <w:r>
        <w:fldChar w:fldCharType="begin"/>
      </w:r>
      <w:r>
        <w:instrText xml:space="preserve"> HYPERLINK "https://doi.org/10.12968/hmed.2019.80.12.730" </w:instrText>
      </w:r>
      <w:r>
        <w:fldChar w:fldCharType="separate"/>
      </w:r>
      <w:r>
        <w:rPr>
          <w:rStyle w:val="8"/>
          <w:rFonts w:eastAsia="Times New Roman" w:cs="Times New Roman"/>
          <w:lang w:eastAsia="en-GB"/>
        </w:rPr>
        <w:t>https://doi.org/10.12968/hmed.2019.80.12.730</w:t>
      </w:r>
      <w:r>
        <w:rPr>
          <w:rStyle w:val="8"/>
          <w:rFonts w:eastAsia="Times New Roman" w:cs="Times New Roman"/>
          <w:lang w:eastAsia="en-GB"/>
        </w:rPr>
        <w:fldChar w:fldCharType="end"/>
      </w:r>
    </w:p>
    <w:p>
      <w:pPr>
        <w:spacing w:after="0" w:line="240" w:lineRule="auto"/>
      </w:pPr>
    </w:p>
    <w:p>
      <w:pPr>
        <w:pStyle w:val="10"/>
        <w:numPr>
          <w:ilvl w:val="0"/>
          <w:numId w:val="1"/>
        </w:numPr>
        <w:shd w:val="clear" w:color="auto" w:fill="FFFFFF"/>
        <w:spacing w:after="0" w:line="240" w:lineRule="auto"/>
        <w:outlineLvl w:val="0"/>
        <w:rPr>
          <w:rFonts w:eastAsia="Times New Roman" w:cs="Times New Roman"/>
          <w:color w:val="000000"/>
          <w:kern w:val="36"/>
          <w:lang w:eastAsia="en-GB"/>
        </w:rPr>
      </w:pPr>
      <w:r>
        <w:rPr>
          <w:rFonts w:eastAsia="Times New Roman" w:cs="Times New Roman"/>
          <w:color w:val="000000"/>
          <w:kern w:val="36"/>
          <w:lang w:eastAsia="en-GB"/>
        </w:rPr>
        <w:t>Esotropia and vertical gaze palsy in a patient with an acute thalamic infarct</w:t>
      </w:r>
    </w:p>
    <w:p>
      <w:pPr>
        <w:pStyle w:val="10"/>
        <w:shd w:val="clear" w:color="auto" w:fill="FFFFFF"/>
        <w:spacing w:after="0" w:line="240" w:lineRule="auto"/>
        <w:rPr>
          <w:rFonts w:eastAsia="Times New Roman" w:cs="Times New Roman"/>
          <w:color w:val="000000"/>
          <w:lang w:eastAsia="en-GB"/>
        </w:rPr>
      </w:pPr>
      <w:r>
        <w:rPr>
          <w:rFonts w:eastAsia="Times New Roman" w:cs="Times New Roman"/>
          <w:color w:val="000000"/>
          <w:lang w:eastAsia="en-GB"/>
        </w:rPr>
        <w:t>Published Online:23 Mar 2020</w:t>
      </w:r>
    </w:p>
    <w:p>
      <w:pPr>
        <w:pStyle w:val="10"/>
        <w:shd w:val="clear" w:color="auto" w:fill="FFFFFF"/>
        <w:spacing w:after="0" w:line="240" w:lineRule="auto"/>
        <w:rPr>
          <w:rFonts w:eastAsia="Times New Roman" w:cs="Times New Roman"/>
          <w:color w:val="000000"/>
          <w:lang w:eastAsia="en-GB"/>
        </w:rPr>
      </w:pPr>
      <w:r>
        <w:fldChar w:fldCharType="begin"/>
      </w:r>
      <w:r>
        <w:instrText xml:space="preserve"> HYPERLINK "https://doi.org/10.12968/hmed.2019.0344" </w:instrText>
      </w:r>
      <w:r>
        <w:fldChar w:fldCharType="separate"/>
      </w:r>
      <w:r>
        <w:rPr>
          <w:rStyle w:val="8"/>
          <w:rFonts w:eastAsia="Times New Roman" w:cs="Times New Roman"/>
          <w:lang w:eastAsia="en-GB"/>
        </w:rPr>
        <w:t>https://doi.org/10.12968/hmed.2019.0344</w:t>
      </w:r>
      <w:r>
        <w:rPr>
          <w:rStyle w:val="8"/>
          <w:rFonts w:eastAsia="Times New Roman" w:cs="Times New Roman"/>
          <w:lang w:eastAsia="en-GB"/>
        </w:rPr>
        <w:fldChar w:fldCharType="end"/>
      </w:r>
    </w:p>
    <w:p>
      <w:pPr>
        <w:spacing w:after="0" w:line="240" w:lineRule="auto"/>
      </w:pPr>
    </w:p>
    <w:p>
      <w:pPr>
        <w:pStyle w:val="10"/>
        <w:numPr>
          <w:ilvl w:val="0"/>
          <w:numId w:val="1"/>
        </w:numPr>
        <w:shd w:val="clear" w:color="auto" w:fill="FFFFFF"/>
        <w:spacing w:after="0" w:line="240" w:lineRule="auto"/>
        <w:outlineLvl w:val="0"/>
        <w:rPr>
          <w:rFonts w:eastAsia="Times New Roman" w:cs="Times New Roman"/>
          <w:color w:val="000000"/>
          <w:kern w:val="36"/>
          <w:lang w:eastAsia="en-GB"/>
        </w:rPr>
      </w:pPr>
      <w:r>
        <w:rPr>
          <w:rFonts w:eastAsia="Times New Roman" w:cs="Times New Roman"/>
          <w:color w:val="000000"/>
          <w:kern w:val="36"/>
          <w:lang w:eastAsia="en-GB"/>
        </w:rPr>
        <w:t>A primer in interpretation of head CT scans</w:t>
      </w:r>
    </w:p>
    <w:p>
      <w:pPr>
        <w:pStyle w:val="10"/>
        <w:shd w:val="clear" w:color="auto" w:fill="FFFFFF"/>
        <w:spacing w:after="0" w:line="240" w:lineRule="auto"/>
        <w:rPr>
          <w:rFonts w:eastAsia="Times New Roman" w:cs="Times New Roman"/>
          <w:color w:val="000000"/>
          <w:lang w:eastAsia="en-GB"/>
        </w:rPr>
      </w:pPr>
      <w:r>
        <w:rPr>
          <w:rFonts w:eastAsia="Times New Roman" w:cs="Times New Roman"/>
          <w:color w:val="000000"/>
          <w:lang w:eastAsia="en-GB"/>
        </w:rPr>
        <w:t>Published Online:9 Nov 2019</w:t>
      </w:r>
    </w:p>
    <w:p>
      <w:pPr>
        <w:pStyle w:val="10"/>
        <w:shd w:val="clear" w:color="auto" w:fill="FFFFFF"/>
        <w:spacing w:after="0" w:line="240" w:lineRule="auto"/>
        <w:rPr>
          <w:rFonts w:eastAsia="Times New Roman" w:cs="Times New Roman"/>
          <w:color w:val="000000"/>
          <w:lang w:eastAsia="en-GB"/>
        </w:rPr>
      </w:pPr>
      <w:r>
        <w:fldChar w:fldCharType="begin"/>
      </w:r>
      <w:r>
        <w:instrText xml:space="preserve"> HYPERLINK "https://doi.org/10.12968/hmed.2019.80.11.C156" </w:instrText>
      </w:r>
      <w:r>
        <w:fldChar w:fldCharType="separate"/>
      </w:r>
      <w:r>
        <w:rPr>
          <w:rStyle w:val="8"/>
          <w:rFonts w:eastAsia="Times New Roman" w:cs="Times New Roman"/>
          <w:lang w:eastAsia="en-GB"/>
        </w:rPr>
        <w:t>https://doi.org/10.12968/hmed.2019.80.11.C156</w:t>
      </w:r>
      <w:r>
        <w:rPr>
          <w:rStyle w:val="8"/>
          <w:rFonts w:eastAsia="Times New Roman" w:cs="Times New Roman"/>
          <w:lang w:eastAsia="en-GB"/>
        </w:rPr>
        <w:fldChar w:fldCharType="end"/>
      </w:r>
    </w:p>
    <w:p>
      <w:pPr>
        <w:spacing w:after="0" w:line="240" w:lineRule="auto"/>
      </w:pPr>
    </w:p>
    <w:p>
      <w:pPr>
        <w:pStyle w:val="2"/>
        <w:numPr>
          <w:ilvl w:val="0"/>
          <w:numId w:val="1"/>
        </w:numPr>
        <w:shd w:val="clear" w:color="auto" w:fill="FFFFFF"/>
        <w:spacing w:before="0" w:beforeAutospacing="0" w:after="0" w:afterAutospacing="0"/>
        <w:rPr>
          <w:rFonts w:asciiTheme="minorHAnsi" w:hAnsiTheme="minorHAnsi"/>
          <w:b w:val="0"/>
          <w:bCs w:val="0"/>
          <w:color w:val="000000"/>
          <w:sz w:val="22"/>
          <w:szCs w:val="22"/>
        </w:rPr>
      </w:pPr>
      <w:r>
        <w:rPr>
          <w:rFonts w:asciiTheme="minorHAnsi" w:hAnsiTheme="minorHAnsi"/>
          <w:b w:val="0"/>
          <w:bCs w:val="0"/>
          <w:color w:val="000000"/>
          <w:sz w:val="22"/>
          <w:szCs w:val="22"/>
        </w:rPr>
        <w:t>How to optimise anticoagulation for patients who are obese</w:t>
      </w:r>
    </w:p>
    <w:p>
      <w:pPr>
        <w:pStyle w:val="10"/>
        <w:shd w:val="clear" w:color="auto" w:fill="FFFFFF"/>
        <w:spacing w:after="0" w:line="240" w:lineRule="auto"/>
        <w:rPr>
          <w:rStyle w:val="21"/>
        </w:rPr>
      </w:pPr>
      <w:r>
        <w:rPr>
          <w:rStyle w:val="20"/>
          <w:color w:val="000000"/>
        </w:rPr>
        <w:t>Published Online:</w:t>
      </w:r>
      <w:r>
        <w:rPr>
          <w:rStyle w:val="21"/>
          <w:color w:val="000000"/>
        </w:rPr>
        <w:t>28 Jan 2020</w:t>
      </w:r>
    </w:p>
    <w:p>
      <w:pPr>
        <w:pStyle w:val="10"/>
        <w:shd w:val="clear" w:color="auto" w:fill="FFFFFF"/>
        <w:spacing w:after="0" w:line="240" w:lineRule="auto"/>
      </w:pPr>
      <w:r>
        <w:fldChar w:fldCharType="begin"/>
      </w:r>
      <w:r>
        <w:instrText xml:space="preserve"> HYPERLINK "https://doi.org/10.12968/hmed.2019.0323" </w:instrText>
      </w:r>
      <w:r>
        <w:fldChar w:fldCharType="separate"/>
      </w:r>
      <w:r>
        <w:rPr>
          <w:rStyle w:val="8"/>
        </w:rPr>
        <w:t>https://doi.org/10.12968/hmed.2019.0323</w:t>
      </w:r>
      <w:r>
        <w:rPr>
          <w:rStyle w:val="8"/>
        </w:rPr>
        <w:fldChar w:fldCharType="end"/>
      </w:r>
    </w:p>
    <w:p>
      <w:pPr>
        <w:spacing w:after="0" w:line="240" w:lineRule="auto"/>
      </w:pPr>
    </w:p>
    <w:p>
      <w:pPr>
        <w:spacing w:after="0" w:line="240" w:lineRule="auto"/>
        <w:rPr>
          <w:b/>
          <w:bCs/>
        </w:rPr>
      </w:pPr>
      <w:r>
        <w:rPr>
          <w:b/>
          <w:bCs/>
        </w:rPr>
        <w:t>British Journal of Neuroscience Nursing</w:t>
      </w:r>
    </w:p>
    <w:p>
      <w:pPr>
        <w:shd w:val="clear" w:color="auto" w:fill="FFFFFF"/>
        <w:spacing w:after="0" w:line="240" w:lineRule="auto"/>
        <w:outlineLvl w:val="0"/>
        <w:rPr>
          <w:rFonts w:eastAsia="Times New Roman" w:cs="Times New Roman"/>
          <w:color w:val="000000"/>
          <w:kern w:val="36"/>
          <w:lang w:eastAsia="en-GB"/>
        </w:rPr>
      </w:pPr>
    </w:p>
    <w:p>
      <w:pPr>
        <w:pStyle w:val="10"/>
        <w:numPr>
          <w:ilvl w:val="0"/>
          <w:numId w:val="1"/>
        </w:numPr>
        <w:shd w:val="clear" w:color="auto" w:fill="FFFFFF"/>
        <w:spacing w:after="0" w:line="240" w:lineRule="auto"/>
        <w:outlineLvl w:val="0"/>
        <w:rPr>
          <w:rFonts w:eastAsia="Times New Roman" w:cs="Times New Roman"/>
          <w:color w:val="000000"/>
          <w:kern w:val="36"/>
          <w:lang w:eastAsia="en-GB"/>
        </w:rPr>
      </w:pPr>
      <w:r>
        <w:rPr>
          <w:rFonts w:eastAsia="Times New Roman" w:cs="Times New Roman"/>
          <w:color w:val="000000"/>
          <w:kern w:val="36"/>
          <w:lang w:eastAsia="en-GB"/>
        </w:rPr>
        <w:t>Adopting evidence-based guidelines for acute stroke care: barriers and enablers for health professionals</w:t>
      </w:r>
    </w:p>
    <w:p>
      <w:pPr>
        <w:pStyle w:val="10"/>
        <w:shd w:val="clear" w:color="auto" w:fill="FFFFFF"/>
        <w:spacing w:after="0" w:line="240" w:lineRule="auto"/>
        <w:rPr>
          <w:rFonts w:eastAsia="Times New Roman" w:cs="Times New Roman"/>
          <w:color w:val="000000"/>
          <w:lang w:eastAsia="en-GB"/>
        </w:rPr>
      </w:pPr>
      <w:r>
        <w:rPr>
          <w:rFonts w:eastAsia="Times New Roman" w:cs="Times New Roman"/>
          <w:color w:val="000000"/>
          <w:lang w:eastAsia="en-GB"/>
        </w:rPr>
        <w:t>Published Online:25 Feb 2020</w:t>
      </w:r>
    </w:p>
    <w:p>
      <w:pPr>
        <w:pStyle w:val="10"/>
        <w:shd w:val="clear" w:color="auto" w:fill="FFFFFF"/>
        <w:spacing w:after="0" w:line="240" w:lineRule="auto"/>
        <w:rPr>
          <w:rFonts w:eastAsia="Times New Roman" w:cs="Times New Roman"/>
          <w:color w:val="000000"/>
          <w:lang w:eastAsia="en-GB"/>
        </w:rPr>
      </w:pPr>
      <w:r>
        <w:fldChar w:fldCharType="begin"/>
      </w:r>
      <w:r>
        <w:instrText xml:space="preserve"> HYPERLINK "https://doi.org/10.12968/bjnn.2020.16.1.8" </w:instrText>
      </w:r>
      <w:r>
        <w:fldChar w:fldCharType="separate"/>
      </w:r>
      <w:r>
        <w:rPr>
          <w:rStyle w:val="8"/>
          <w:rFonts w:eastAsia="Times New Roman" w:cs="Times New Roman"/>
          <w:lang w:eastAsia="en-GB"/>
        </w:rPr>
        <w:t>https://doi.org/10.12968/bjnn.2020.16.1.8</w:t>
      </w:r>
      <w:r>
        <w:rPr>
          <w:rStyle w:val="8"/>
          <w:rFonts w:eastAsia="Times New Roman" w:cs="Times New Roman"/>
          <w:lang w:eastAsia="en-GB"/>
        </w:rPr>
        <w:fldChar w:fldCharType="end"/>
      </w:r>
    </w:p>
    <w:p>
      <w:pPr>
        <w:shd w:val="clear" w:color="auto" w:fill="FFFFFF"/>
        <w:spacing w:after="0" w:line="240" w:lineRule="auto"/>
        <w:outlineLvl w:val="0"/>
        <w:rPr>
          <w:rFonts w:eastAsia="Times New Roman" w:cs="Times New Roman"/>
          <w:color w:val="000000"/>
          <w:kern w:val="36"/>
          <w:lang w:eastAsia="en-GB"/>
        </w:rPr>
      </w:pPr>
    </w:p>
    <w:p>
      <w:pPr>
        <w:pStyle w:val="10"/>
        <w:numPr>
          <w:ilvl w:val="0"/>
          <w:numId w:val="1"/>
        </w:numPr>
        <w:shd w:val="clear" w:color="auto" w:fill="FFFFFF"/>
        <w:spacing w:after="0" w:line="240" w:lineRule="auto"/>
        <w:outlineLvl w:val="0"/>
        <w:rPr>
          <w:rFonts w:eastAsia="Times New Roman" w:cs="Times New Roman"/>
          <w:color w:val="000000"/>
          <w:kern w:val="36"/>
          <w:lang w:eastAsia="en-GB"/>
        </w:rPr>
      </w:pPr>
      <w:r>
        <w:rPr>
          <w:rFonts w:eastAsia="Times New Roman" w:cs="Times New Roman"/>
          <w:color w:val="000000"/>
          <w:kern w:val="36"/>
          <w:lang w:eastAsia="en-GB"/>
        </w:rPr>
        <w:t>Malnutrition in acute stroke: what are we treating?</w:t>
      </w:r>
    </w:p>
    <w:p>
      <w:pPr>
        <w:pStyle w:val="10"/>
        <w:shd w:val="clear" w:color="auto" w:fill="FFFFFF"/>
        <w:spacing w:after="0" w:line="240" w:lineRule="auto"/>
        <w:rPr>
          <w:rFonts w:eastAsia="Times New Roman" w:cs="Times New Roman"/>
          <w:color w:val="000000"/>
          <w:lang w:eastAsia="en-GB"/>
        </w:rPr>
      </w:pPr>
      <w:r>
        <w:rPr>
          <w:rFonts w:eastAsia="Times New Roman" w:cs="Times New Roman"/>
          <w:color w:val="000000"/>
          <w:lang w:eastAsia="en-GB"/>
        </w:rPr>
        <w:t>Published Online:27 Apr 2020</w:t>
      </w:r>
    </w:p>
    <w:p>
      <w:pPr>
        <w:pStyle w:val="10"/>
        <w:shd w:val="clear" w:color="auto" w:fill="FFFFFF"/>
        <w:spacing w:after="0" w:line="240" w:lineRule="auto"/>
        <w:rPr>
          <w:rFonts w:eastAsia="Times New Roman" w:cs="Times New Roman"/>
          <w:color w:val="000000"/>
          <w:lang w:eastAsia="en-GB"/>
        </w:rPr>
      </w:pPr>
      <w:r>
        <w:fldChar w:fldCharType="begin"/>
      </w:r>
      <w:r>
        <w:instrText xml:space="preserve"> HYPERLINK "https://doi.org/10.12968/bjnn.2020.16.Sup2.S4" </w:instrText>
      </w:r>
      <w:r>
        <w:fldChar w:fldCharType="separate"/>
      </w:r>
      <w:r>
        <w:rPr>
          <w:rStyle w:val="8"/>
          <w:rFonts w:eastAsia="Times New Roman" w:cs="Times New Roman"/>
          <w:lang w:eastAsia="en-GB"/>
        </w:rPr>
        <w:t>https://doi.org/10.12968/bjnn.2020.16.Sup2.S4</w:t>
      </w:r>
      <w:r>
        <w:rPr>
          <w:rStyle w:val="8"/>
          <w:rFonts w:eastAsia="Times New Roman" w:cs="Times New Roman"/>
          <w:lang w:eastAsia="en-GB"/>
        </w:rPr>
        <w:fldChar w:fldCharType="end"/>
      </w:r>
    </w:p>
    <w:p>
      <w:pPr>
        <w:shd w:val="clear" w:color="auto" w:fill="FFFFFF"/>
        <w:spacing w:after="0" w:line="240" w:lineRule="auto"/>
        <w:outlineLvl w:val="0"/>
        <w:rPr>
          <w:rFonts w:eastAsia="Times New Roman" w:cs="Times New Roman"/>
          <w:color w:val="000000"/>
          <w:kern w:val="36"/>
          <w:lang w:eastAsia="en-GB"/>
        </w:rPr>
      </w:pPr>
    </w:p>
    <w:p>
      <w:pPr>
        <w:pStyle w:val="10"/>
        <w:numPr>
          <w:ilvl w:val="0"/>
          <w:numId w:val="1"/>
        </w:numPr>
        <w:shd w:val="clear" w:color="auto" w:fill="FFFFFF"/>
        <w:spacing w:after="0" w:line="240" w:lineRule="auto"/>
        <w:outlineLvl w:val="0"/>
        <w:rPr>
          <w:rFonts w:eastAsia="Times New Roman" w:cs="Times New Roman"/>
          <w:color w:val="000000"/>
          <w:kern w:val="36"/>
          <w:lang w:eastAsia="en-GB"/>
        </w:rPr>
      </w:pPr>
      <w:r>
        <w:rPr>
          <w:rFonts w:eastAsia="Times New Roman" w:cs="Times New Roman"/>
          <w:color w:val="000000"/>
          <w:kern w:val="36"/>
          <w:lang w:eastAsia="en-GB"/>
        </w:rPr>
        <w:t>Interviewing stroke survivors about experiences of their stroke journey</w:t>
      </w:r>
    </w:p>
    <w:p>
      <w:pPr>
        <w:pStyle w:val="10"/>
        <w:shd w:val="clear" w:color="auto" w:fill="FFFFFF"/>
        <w:spacing w:after="0" w:line="240" w:lineRule="auto"/>
        <w:rPr>
          <w:rFonts w:eastAsia="Times New Roman" w:cs="Times New Roman"/>
          <w:color w:val="000000"/>
          <w:lang w:eastAsia="en-GB"/>
        </w:rPr>
      </w:pPr>
      <w:r>
        <w:rPr>
          <w:rFonts w:eastAsia="Times New Roman" w:cs="Times New Roman"/>
          <w:color w:val="000000"/>
          <w:lang w:eastAsia="en-GB"/>
        </w:rPr>
        <w:t>Published Online:27 Apr 2020</w:t>
      </w:r>
    </w:p>
    <w:p>
      <w:pPr>
        <w:pStyle w:val="10"/>
        <w:shd w:val="clear" w:color="auto" w:fill="FFFFFF"/>
        <w:spacing w:after="0" w:line="240" w:lineRule="auto"/>
        <w:rPr>
          <w:rFonts w:eastAsia="Times New Roman" w:cs="Times New Roman"/>
          <w:color w:val="2D2F7F"/>
          <w:u w:val="single"/>
          <w:lang w:eastAsia="en-GB"/>
        </w:rPr>
      </w:pPr>
      <w:r>
        <w:fldChar w:fldCharType="begin"/>
      </w:r>
      <w:r>
        <w:instrText xml:space="preserve"> HYPERLINK "https://doi.org/10.12968/bjnn.2020.16.Sup2.S16" </w:instrText>
      </w:r>
      <w:r>
        <w:fldChar w:fldCharType="separate"/>
      </w:r>
      <w:r>
        <w:rPr>
          <w:rStyle w:val="8"/>
          <w:rFonts w:eastAsia="Times New Roman" w:cs="Times New Roman"/>
          <w:lang w:eastAsia="en-GB"/>
        </w:rPr>
        <w:t>https://doi.org/10.12968/bjnn.2020.16.Sup2.S16</w:t>
      </w:r>
      <w:r>
        <w:rPr>
          <w:rStyle w:val="8"/>
          <w:rFonts w:eastAsia="Times New Roman" w:cs="Times New Roman"/>
          <w:lang w:eastAsia="en-GB"/>
        </w:rPr>
        <w:fldChar w:fldCharType="end"/>
      </w:r>
    </w:p>
    <w:p>
      <w:pPr>
        <w:shd w:val="clear" w:color="auto" w:fill="FFFFFF"/>
        <w:spacing w:after="0" w:line="240" w:lineRule="auto"/>
        <w:rPr>
          <w:rFonts w:eastAsia="Times New Roman" w:cs="Times New Roman"/>
          <w:color w:val="000000"/>
          <w:lang w:eastAsia="en-GB"/>
        </w:rPr>
      </w:pPr>
    </w:p>
    <w:p>
      <w:pPr>
        <w:pStyle w:val="10"/>
        <w:numPr>
          <w:ilvl w:val="0"/>
          <w:numId w:val="1"/>
        </w:numPr>
        <w:shd w:val="clear" w:color="auto" w:fill="FFFFFF"/>
        <w:spacing w:after="0" w:line="240" w:lineRule="auto"/>
        <w:outlineLvl w:val="0"/>
        <w:rPr>
          <w:rFonts w:eastAsia="Times New Roman" w:cs="Times New Roman"/>
          <w:color w:val="000000"/>
          <w:kern w:val="36"/>
          <w:lang w:eastAsia="en-GB"/>
        </w:rPr>
      </w:pPr>
      <w:r>
        <w:rPr>
          <w:rFonts w:eastAsia="Times New Roman" w:cs="Times New Roman"/>
          <w:color w:val="000000"/>
          <w:kern w:val="36"/>
          <w:lang w:eastAsia="en-GB"/>
        </w:rPr>
        <w:t>The ARNI approach to functional stroke rehabilitation</w:t>
      </w:r>
    </w:p>
    <w:p>
      <w:pPr>
        <w:pStyle w:val="10"/>
        <w:shd w:val="clear" w:color="auto" w:fill="FFFFFF"/>
        <w:spacing w:after="0" w:line="240" w:lineRule="auto"/>
        <w:rPr>
          <w:rFonts w:eastAsia="Times New Roman" w:cs="Times New Roman"/>
          <w:color w:val="000000"/>
          <w:lang w:eastAsia="en-GB"/>
        </w:rPr>
      </w:pPr>
      <w:r>
        <w:rPr>
          <w:rFonts w:eastAsia="Times New Roman" w:cs="Times New Roman"/>
          <w:color w:val="000000"/>
          <w:lang w:eastAsia="en-GB"/>
        </w:rPr>
        <w:t>Published Online:27 Apr 2020</w:t>
      </w:r>
    </w:p>
    <w:p>
      <w:pPr>
        <w:pStyle w:val="10"/>
        <w:shd w:val="clear" w:color="auto" w:fill="FFFFFF"/>
        <w:spacing w:after="0" w:line="240" w:lineRule="auto"/>
        <w:rPr>
          <w:rFonts w:eastAsia="Times New Roman" w:cs="Times New Roman"/>
          <w:color w:val="000000"/>
          <w:lang w:eastAsia="en-GB"/>
        </w:rPr>
      </w:pPr>
      <w:r>
        <w:fldChar w:fldCharType="begin"/>
      </w:r>
      <w:r>
        <w:instrText xml:space="preserve"> HYPERLINK "https://doi.org/10.12968/bjnn.2020.16.Sup2.S11" </w:instrText>
      </w:r>
      <w:r>
        <w:fldChar w:fldCharType="separate"/>
      </w:r>
      <w:r>
        <w:rPr>
          <w:rStyle w:val="8"/>
          <w:rFonts w:eastAsia="Times New Roman" w:cs="Times New Roman"/>
          <w:lang w:eastAsia="en-GB"/>
        </w:rPr>
        <w:t>https://doi.org/10.12968/bjnn.2020.16.Sup2.S11</w:t>
      </w:r>
      <w:r>
        <w:rPr>
          <w:rStyle w:val="8"/>
          <w:rFonts w:eastAsia="Times New Roman" w:cs="Times New Roman"/>
          <w:lang w:eastAsia="en-GB"/>
        </w:rPr>
        <w:fldChar w:fldCharType="end"/>
      </w:r>
    </w:p>
    <w:p>
      <w:pPr>
        <w:spacing w:after="0" w:line="240" w:lineRule="auto"/>
      </w:pPr>
    </w:p>
    <w:p>
      <w:pPr>
        <w:pStyle w:val="10"/>
        <w:numPr>
          <w:ilvl w:val="0"/>
          <w:numId w:val="1"/>
        </w:numPr>
        <w:shd w:val="clear" w:color="auto" w:fill="FFFFFF"/>
        <w:spacing w:after="0" w:line="240" w:lineRule="auto"/>
        <w:outlineLvl w:val="0"/>
        <w:rPr>
          <w:rFonts w:eastAsia="Times New Roman" w:cs="Times New Roman"/>
          <w:color w:val="000000"/>
          <w:kern w:val="36"/>
          <w:lang w:eastAsia="en-GB"/>
        </w:rPr>
      </w:pPr>
      <w:r>
        <w:rPr>
          <w:rFonts w:eastAsia="Times New Roman" w:cs="Times New Roman"/>
          <w:color w:val="000000"/>
          <w:kern w:val="36"/>
          <w:lang w:eastAsia="en-GB"/>
        </w:rPr>
        <w:t>How people develop functional neurological disorder: some current theories</w:t>
      </w:r>
    </w:p>
    <w:p>
      <w:pPr>
        <w:pStyle w:val="10"/>
        <w:shd w:val="clear" w:color="auto" w:fill="FFFFFF"/>
        <w:spacing w:after="0" w:line="240" w:lineRule="auto"/>
        <w:rPr>
          <w:rFonts w:eastAsia="Times New Roman" w:cs="Times New Roman"/>
          <w:color w:val="000000"/>
          <w:lang w:eastAsia="en-GB"/>
        </w:rPr>
      </w:pPr>
      <w:r>
        <w:rPr>
          <w:rFonts w:eastAsia="Times New Roman" w:cs="Times New Roman"/>
          <w:color w:val="000000"/>
          <w:lang w:eastAsia="en-GB"/>
        </w:rPr>
        <w:t>Published Online:27 Apr 2020</w:t>
      </w:r>
    </w:p>
    <w:p>
      <w:pPr>
        <w:pStyle w:val="10"/>
        <w:shd w:val="clear" w:color="auto" w:fill="FFFFFF"/>
        <w:spacing w:after="0" w:line="240" w:lineRule="auto"/>
        <w:rPr>
          <w:rFonts w:eastAsia="Times New Roman" w:cs="Times New Roman"/>
          <w:color w:val="000000"/>
          <w:lang w:eastAsia="en-GB"/>
        </w:rPr>
      </w:pPr>
      <w:r>
        <w:fldChar w:fldCharType="begin"/>
      </w:r>
      <w:r>
        <w:instrText xml:space="preserve"> HYPERLINK "https://doi.org/10.12968/bjnn.2020.16.2.69" </w:instrText>
      </w:r>
      <w:r>
        <w:fldChar w:fldCharType="separate"/>
      </w:r>
      <w:r>
        <w:rPr>
          <w:rStyle w:val="8"/>
          <w:rFonts w:eastAsia="Times New Roman" w:cs="Times New Roman"/>
          <w:lang w:eastAsia="en-GB"/>
        </w:rPr>
        <w:t>https://doi.org/10.12968/bjnn.2020.16.2.69</w:t>
      </w:r>
      <w:r>
        <w:rPr>
          <w:rStyle w:val="8"/>
          <w:rFonts w:eastAsia="Times New Roman" w:cs="Times New Roman"/>
          <w:lang w:eastAsia="en-GB"/>
        </w:rPr>
        <w:fldChar w:fldCharType="end"/>
      </w:r>
    </w:p>
    <w:p>
      <w:pPr>
        <w:spacing w:after="0" w:line="240" w:lineRule="auto"/>
      </w:pPr>
    </w:p>
    <w:p>
      <w:pPr>
        <w:pStyle w:val="10"/>
        <w:numPr>
          <w:ilvl w:val="0"/>
          <w:numId w:val="1"/>
        </w:numPr>
        <w:shd w:val="clear" w:color="auto" w:fill="FFFFFF"/>
        <w:spacing w:after="0" w:line="240" w:lineRule="auto"/>
        <w:outlineLvl w:val="0"/>
        <w:rPr>
          <w:rFonts w:eastAsia="Times New Roman" w:cs="Times New Roman"/>
          <w:color w:val="000000"/>
          <w:kern w:val="36"/>
          <w:lang w:eastAsia="en-GB"/>
        </w:rPr>
      </w:pPr>
      <w:r>
        <w:rPr>
          <w:rFonts w:eastAsia="Times New Roman" w:cs="Times New Roman"/>
          <w:color w:val="000000"/>
          <w:kern w:val="36"/>
          <w:lang w:eastAsia="en-GB"/>
        </w:rPr>
        <w:t>Microbiological analysis of water and thickeners used for people with dysphagia</w:t>
      </w:r>
    </w:p>
    <w:p>
      <w:pPr>
        <w:pStyle w:val="10"/>
        <w:shd w:val="clear" w:color="auto" w:fill="FFFFFF"/>
        <w:spacing w:after="0" w:line="240" w:lineRule="auto"/>
        <w:rPr>
          <w:rFonts w:eastAsia="Times New Roman" w:cs="Times New Roman"/>
          <w:color w:val="000000"/>
          <w:lang w:eastAsia="en-GB"/>
        </w:rPr>
      </w:pPr>
      <w:r>
        <w:rPr>
          <w:rFonts w:eastAsia="Times New Roman" w:cs="Times New Roman"/>
          <w:color w:val="000000"/>
          <w:lang w:eastAsia="en-GB"/>
        </w:rPr>
        <w:t>Published Online:27 Apr 2020</w:t>
      </w:r>
    </w:p>
    <w:p>
      <w:pPr>
        <w:pStyle w:val="10"/>
        <w:shd w:val="clear" w:color="auto" w:fill="FFFFFF"/>
        <w:spacing w:after="0" w:line="240" w:lineRule="auto"/>
        <w:rPr>
          <w:rFonts w:eastAsia="Times New Roman" w:cs="Times New Roman"/>
          <w:color w:val="000000"/>
          <w:lang w:eastAsia="en-GB"/>
        </w:rPr>
      </w:pPr>
      <w:r>
        <w:fldChar w:fldCharType="begin"/>
      </w:r>
      <w:r>
        <w:instrText xml:space="preserve"> HYPERLINK "https://doi.org/10.12968/bjnn.2020.16.Sup2.S21" </w:instrText>
      </w:r>
      <w:r>
        <w:fldChar w:fldCharType="separate"/>
      </w:r>
      <w:r>
        <w:rPr>
          <w:rStyle w:val="8"/>
          <w:rFonts w:eastAsia="Times New Roman" w:cs="Times New Roman"/>
          <w:lang w:eastAsia="en-GB"/>
        </w:rPr>
        <w:t>https://doi.org/10.12968/bjnn.2020.16.Sup2.S21</w:t>
      </w:r>
      <w:r>
        <w:rPr>
          <w:rStyle w:val="8"/>
          <w:rFonts w:eastAsia="Times New Roman" w:cs="Times New Roman"/>
          <w:lang w:eastAsia="en-GB"/>
        </w:rPr>
        <w:fldChar w:fldCharType="end"/>
      </w:r>
    </w:p>
    <w:p>
      <w:pPr>
        <w:spacing w:after="0" w:line="240" w:lineRule="auto"/>
      </w:pPr>
    </w:p>
    <w:p>
      <w:pPr>
        <w:spacing w:after="0" w:line="240" w:lineRule="auto"/>
        <w:rPr>
          <w:b/>
          <w:bCs/>
        </w:rPr>
      </w:pPr>
      <w:r>
        <w:rPr>
          <w:b/>
          <w:bCs/>
        </w:rPr>
        <w:t>International Journal of Therapy and Rehabilitation</w:t>
      </w:r>
    </w:p>
    <w:p>
      <w:pPr>
        <w:spacing w:after="0" w:line="240" w:lineRule="auto"/>
        <w:rPr>
          <w:b/>
          <w:bCs/>
        </w:rPr>
      </w:pPr>
    </w:p>
    <w:p>
      <w:pPr>
        <w:pStyle w:val="10"/>
        <w:numPr>
          <w:ilvl w:val="0"/>
          <w:numId w:val="1"/>
        </w:numPr>
        <w:shd w:val="clear" w:color="auto" w:fill="FFFFFF"/>
        <w:spacing w:after="0" w:line="240" w:lineRule="auto"/>
        <w:outlineLvl w:val="0"/>
        <w:rPr>
          <w:rFonts w:eastAsia="Times New Roman" w:cs="Times New Roman"/>
          <w:color w:val="000000"/>
          <w:kern w:val="36"/>
          <w:lang w:eastAsia="en-GB"/>
        </w:rPr>
      </w:pPr>
      <w:r>
        <w:rPr>
          <w:rFonts w:eastAsia="Times New Roman" w:cs="Times New Roman"/>
          <w:color w:val="000000"/>
          <w:kern w:val="36"/>
          <w:lang w:eastAsia="en-GB"/>
        </w:rPr>
        <w:t>The perceived benefits of community-based group exercise sessions for survivors of stroke</w:t>
      </w:r>
    </w:p>
    <w:p>
      <w:pPr>
        <w:pStyle w:val="10"/>
        <w:shd w:val="clear" w:color="auto" w:fill="FFFFFF"/>
        <w:spacing w:after="0" w:line="240" w:lineRule="auto"/>
        <w:rPr>
          <w:rFonts w:eastAsia="Times New Roman" w:cs="Times New Roman"/>
          <w:color w:val="000000"/>
          <w:lang w:eastAsia="en-GB"/>
        </w:rPr>
      </w:pPr>
      <w:r>
        <w:rPr>
          <w:rFonts w:eastAsia="Times New Roman" w:cs="Times New Roman"/>
          <w:color w:val="000000"/>
          <w:lang w:eastAsia="en-GB"/>
        </w:rPr>
        <w:t>Published Online:18 Feb 2020</w:t>
      </w:r>
    </w:p>
    <w:p>
      <w:pPr>
        <w:pStyle w:val="10"/>
        <w:shd w:val="clear" w:color="auto" w:fill="FFFFFF"/>
        <w:spacing w:after="0" w:line="240" w:lineRule="auto"/>
        <w:rPr>
          <w:rFonts w:eastAsia="Times New Roman" w:cs="Times New Roman"/>
          <w:color w:val="2D2F7F"/>
          <w:u w:val="single"/>
          <w:lang w:eastAsia="en-GB"/>
        </w:rPr>
      </w:pPr>
      <w:r>
        <w:fldChar w:fldCharType="begin"/>
      </w:r>
      <w:r>
        <w:instrText xml:space="preserve"> HYPERLINK "https://doi.org/10.12968/ijtr.2016.0049" </w:instrText>
      </w:r>
      <w:r>
        <w:fldChar w:fldCharType="separate"/>
      </w:r>
      <w:r>
        <w:rPr>
          <w:rStyle w:val="8"/>
          <w:rFonts w:eastAsia="Times New Roman" w:cs="Times New Roman"/>
          <w:lang w:eastAsia="en-GB"/>
        </w:rPr>
        <w:t>https://doi.org/10.12968/ijtr.2016.0049</w:t>
      </w:r>
      <w:r>
        <w:rPr>
          <w:rStyle w:val="8"/>
          <w:rFonts w:eastAsia="Times New Roman" w:cs="Times New Roman"/>
          <w:lang w:eastAsia="en-GB"/>
        </w:rPr>
        <w:fldChar w:fldCharType="end"/>
      </w:r>
    </w:p>
    <w:p>
      <w:pPr>
        <w:shd w:val="clear" w:color="auto" w:fill="FFFFFF"/>
        <w:spacing w:after="0" w:line="240" w:lineRule="auto"/>
        <w:rPr>
          <w:rFonts w:eastAsia="Times New Roman" w:cs="Times New Roman"/>
          <w:color w:val="000000"/>
          <w:lang w:eastAsia="en-GB"/>
        </w:rPr>
      </w:pPr>
    </w:p>
    <w:p>
      <w:pPr>
        <w:pStyle w:val="10"/>
        <w:numPr>
          <w:ilvl w:val="0"/>
          <w:numId w:val="1"/>
        </w:numPr>
        <w:shd w:val="clear" w:color="auto" w:fill="FFFFFF"/>
        <w:spacing w:after="0" w:line="240" w:lineRule="auto"/>
        <w:outlineLvl w:val="0"/>
        <w:rPr>
          <w:rFonts w:eastAsia="Times New Roman" w:cs="Times New Roman"/>
          <w:color w:val="000000" w:themeColor="text1"/>
          <w:kern w:val="36"/>
          <w:lang w:eastAsia="en-GB"/>
          <w14:textFill>
            <w14:solidFill>
              <w14:schemeClr w14:val="tx1"/>
            </w14:solidFill>
          </w14:textFill>
        </w:rPr>
      </w:pPr>
      <w:r>
        <w:rPr>
          <w:rFonts w:eastAsia="Times New Roman" w:cs="Times New Roman"/>
          <w:color w:val="000000" w:themeColor="text1"/>
          <w:kern w:val="36"/>
          <w:lang w:eastAsia="en-GB"/>
          <w14:textFill>
            <w14:solidFill>
              <w14:schemeClr w14:val="tx1"/>
            </w14:solidFill>
          </w14:textFill>
        </w:rPr>
        <w:t>Equinovarus foot in stroke survivors with spasticity: a narrative review of muscle–tendon morphology and force production adaptation</w:t>
      </w:r>
    </w:p>
    <w:p>
      <w:pPr>
        <w:pStyle w:val="10"/>
        <w:shd w:val="clear" w:color="auto" w:fill="FFFFFF"/>
        <w:spacing w:after="0" w:line="240" w:lineRule="auto"/>
        <w:rPr>
          <w:rFonts w:eastAsia="Times New Roman" w:cs="Times New Roman"/>
          <w:color w:val="000000"/>
          <w:lang w:eastAsia="en-GB"/>
        </w:rPr>
      </w:pPr>
      <w:r>
        <w:rPr>
          <w:rFonts w:eastAsia="Times New Roman" w:cs="Times New Roman"/>
          <w:color w:val="000000"/>
          <w:lang w:eastAsia="en-GB"/>
        </w:rPr>
        <w:t>Published Online:14 Jan 2020</w:t>
      </w:r>
    </w:p>
    <w:p>
      <w:pPr>
        <w:pStyle w:val="10"/>
        <w:shd w:val="clear" w:color="auto" w:fill="FFFFFF"/>
        <w:spacing w:after="0" w:line="240" w:lineRule="auto"/>
        <w:rPr>
          <w:rFonts w:eastAsia="Times New Roman" w:cs="Times New Roman"/>
          <w:color w:val="2D2F7F"/>
          <w:u w:val="single"/>
          <w:lang w:eastAsia="en-GB"/>
        </w:rPr>
      </w:pPr>
      <w:r>
        <w:fldChar w:fldCharType="begin"/>
      </w:r>
      <w:r>
        <w:instrText xml:space="preserve"> HYPERLINK "https://doi.org/10.12968/ijtr.2017.0124" </w:instrText>
      </w:r>
      <w:r>
        <w:fldChar w:fldCharType="separate"/>
      </w:r>
      <w:r>
        <w:rPr>
          <w:rStyle w:val="8"/>
          <w:rFonts w:eastAsia="Times New Roman" w:cs="Times New Roman"/>
          <w:lang w:eastAsia="en-GB"/>
        </w:rPr>
        <w:t>https://doi.org/10.12968/ijtr.2017.0124</w:t>
      </w:r>
      <w:r>
        <w:rPr>
          <w:rStyle w:val="8"/>
          <w:rFonts w:eastAsia="Times New Roman" w:cs="Times New Roman"/>
          <w:lang w:eastAsia="en-GB"/>
        </w:rPr>
        <w:fldChar w:fldCharType="end"/>
      </w:r>
    </w:p>
    <w:p>
      <w:pPr>
        <w:shd w:val="clear" w:color="auto" w:fill="FFFFFF"/>
        <w:spacing w:after="0" w:line="240" w:lineRule="auto"/>
        <w:rPr>
          <w:rFonts w:eastAsia="Times New Roman" w:cs="Times New Roman"/>
          <w:color w:val="000000"/>
          <w:lang w:eastAsia="en-GB"/>
        </w:rPr>
      </w:pPr>
    </w:p>
    <w:p>
      <w:pPr>
        <w:pStyle w:val="10"/>
        <w:numPr>
          <w:ilvl w:val="0"/>
          <w:numId w:val="1"/>
        </w:numPr>
        <w:shd w:val="clear" w:color="auto" w:fill="FFFFFF"/>
        <w:spacing w:after="0" w:line="240" w:lineRule="auto"/>
        <w:outlineLvl w:val="0"/>
        <w:rPr>
          <w:rFonts w:eastAsia="Times New Roman" w:cs="Times New Roman"/>
          <w:color w:val="000000"/>
          <w:kern w:val="36"/>
          <w:lang w:eastAsia="en-GB"/>
        </w:rPr>
      </w:pPr>
      <w:r>
        <w:rPr>
          <w:rFonts w:eastAsia="Times New Roman" w:cs="Times New Roman"/>
          <w:color w:val="000000"/>
          <w:kern w:val="36"/>
          <w:lang w:eastAsia="en-GB"/>
        </w:rPr>
        <w:t>Discriminatory power of Stroke Specific Quality of Life questionnaire items to evaluate the participation component of the International Classification of Functioning, Disability and Health</w:t>
      </w:r>
    </w:p>
    <w:p>
      <w:pPr>
        <w:pStyle w:val="10"/>
        <w:shd w:val="clear" w:color="auto" w:fill="FFFFFF"/>
        <w:spacing w:after="0" w:line="240" w:lineRule="auto"/>
        <w:rPr>
          <w:rFonts w:eastAsia="Times New Roman" w:cs="Times New Roman"/>
          <w:color w:val="000000"/>
          <w:lang w:eastAsia="en-GB"/>
        </w:rPr>
      </w:pPr>
      <w:r>
        <w:rPr>
          <w:rFonts w:eastAsia="Times New Roman" w:cs="Times New Roman"/>
          <w:color w:val="000000"/>
          <w:lang w:eastAsia="en-GB"/>
        </w:rPr>
        <w:t>Published Online:19 Feb 2020</w:t>
      </w:r>
    </w:p>
    <w:p>
      <w:pPr>
        <w:pStyle w:val="10"/>
        <w:shd w:val="clear" w:color="auto" w:fill="FFFFFF"/>
        <w:spacing w:after="0" w:line="240" w:lineRule="auto"/>
        <w:rPr>
          <w:rFonts w:eastAsia="Times New Roman" w:cs="Times New Roman"/>
          <w:color w:val="2D2F7F"/>
          <w:u w:val="single"/>
          <w:lang w:eastAsia="en-GB"/>
        </w:rPr>
      </w:pPr>
      <w:r>
        <w:fldChar w:fldCharType="begin"/>
      </w:r>
      <w:r>
        <w:instrText xml:space="preserve"> HYPERLINK "https://doi.org/10.12968/ijtr.2018.0077" </w:instrText>
      </w:r>
      <w:r>
        <w:fldChar w:fldCharType="separate"/>
      </w:r>
      <w:r>
        <w:rPr>
          <w:rStyle w:val="8"/>
          <w:rFonts w:eastAsia="Times New Roman" w:cs="Times New Roman"/>
          <w:lang w:eastAsia="en-GB"/>
        </w:rPr>
        <w:t>https://doi.org/10.12968/ijtr.2018.0077</w:t>
      </w:r>
      <w:r>
        <w:rPr>
          <w:rStyle w:val="8"/>
          <w:rFonts w:eastAsia="Times New Roman" w:cs="Times New Roman"/>
          <w:lang w:eastAsia="en-GB"/>
        </w:rPr>
        <w:fldChar w:fldCharType="end"/>
      </w:r>
    </w:p>
    <w:p>
      <w:pPr>
        <w:shd w:val="clear" w:color="auto" w:fill="FFFFFF"/>
        <w:spacing w:after="0" w:line="240" w:lineRule="auto"/>
        <w:rPr>
          <w:rFonts w:eastAsia="Times New Roman" w:cs="Times New Roman"/>
          <w:color w:val="000000"/>
          <w:lang w:eastAsia="en-GB"/>
        </w:rPr>
      </w:pPr>
    </w:p>
    <w:p>
      <w:pPr>
        <w:pStyle w:val="10"/>
        <w:numPr>
          <w:ilvl w:val="0"/>
          <w:numId w:val="1"/>
        </w:numPr>
        <w:shd w:val="clear" w:color="auto" w:fill="FFFFFF"/>
        <w:spacing w:after="0" w:line="240" w:lineRule="auto"/>
        <w:outlineLvl w:val="0"/>
        <w:rPr>
          <w:rFonts w:eastAsia="Times New Roman" w:cs="Times New Roman"/>
          <w:color w:val="000000"/>
          <w:kern w:val="36"/>
          <w:lang w:eastAsia="en-GB"/>
        </w:rPr>
      </w:pPr>
      <w:r>
        <w:rPr>
          <w:rFonts w:eastAsia="Times New Roman" w:cs="Times New Roman"/>
          <w:color w:val="000000"/>
          <w:kern w:val="36"/>
          <w:lang w:eastAsia="en-GB"/>
        </w:rPr>
        <w:t>Reliability and validity of measuring grip strength with a robotic-assisted device in patients after stroke</w:t>
      </w:r>
    </w:p>
    <w:p>
      <w:pPr>
        <w:pStyle w:val="10"/>
        <w:shd w:val="clear" w:color="auto" w:fill="FFFFFF"/>
        <w:spacing w:after="0" w:line="240" w:lineRule="auto"/>
        <w:rPr>
          <w:rFonts w:eastAsia="Times New Roman" w:cs="Times New Roman"/>
          <w:color w:val="000000"/>
          <w:lang w:eastAsia="en-GB"/>
        </w:rPr>
      </w:pPr>
      <w:r>
        <w:rPr>
          <w:rFonts w:eastAsia="Times New Roman" w:cs="Times New Roman"/>
          <w:color w:val="000000"/>
          <w:lang w:eastAsia="en-GB"/>
        </w:rPr>
        <w:t>Published Online:27 Mar 2020</w:t>
      </w:r>
    </w:p>
    <w:p>
      <w:pPr>
        <w:pStyle w:val="10"/>
        <w:shd w:val="clear" w:color="auto" w:fill="FFFFFF"/>
        <w:spacing w:after="0" w:line="240" w:lineRule="auto"/>
        <w:rPr>
          <w:rFonts w:eastAsia="Times New Roman" w:cs="Times New Roman"/>
          <w:color w:val="000000"/>
          <w:lang w:eastAsia="en-GB"/>
        </w:rPr>
      </w:pPr>
      <w:r>
        <w:fldChar w:fldCharType="begin"/>
      </w:r>
      <w:r>
        <w:instrText xml:space="preserve"> HYPERLINK "https://doi.org/10.12968/ijtr.2019.0018" </w:instrText>
      </w:r>
      <w:r>
        <w:fldChar w:fldCharType="separate"/>
      </w:r>
      <w:r>
        <w:rPr>
          <w:rStyle w:val="8"/>
          <w:rFonts w:eastAsia="Times New Roman" w:cs="Times New Roman"/>
          <w:lang w:eastAsia="en-GB"/>
        </w:rPr>
        <w:t>https://doi.org/10.12968/ijtr.2019.0018</w:t>
      </w:r>
      <w:r>
        <w:rPr>
          <w:rStyle w:val="8"/>
          <w:rFonts w:eastAsia="Times New Roman" w:cs="Times New Roman"/>
          <w:lang w:eastAsia="en-GB"/>
        </w:rPr>
        <w:fldChar w:fldCharType="end"/>
      </w:r>
    </w:p>
    <w:p>
      <w:pPr>
        <w:pStyle w:val="10"/>
        <w:shd w:val="clear" w:color="auto" w:fill="FFFFFF"/>
        <w:spacing w:after="0" w:line="240" w:lineRule="auto"/>
        <w:outlineLvl w:val="0"/>
        <w:rPr>
          <w:rFonts w:eastAsia="Times New Roman" w:cs="Times New Roman"/>
          <w:color w:val="000000"/>
          <w:kern w:val="36"/>
          <w:lang w:eastAsia="en-GB"/>
        </w:rPr>
      </w:pPr>
    </w:p>
    <w:p>
      <w:pPr>
        <w:pStyle w:val="10"/>
        <w:numPr>
          <w:ilvl w:val="0"/>
          <w:numId w:val="1"/>
        </w:numPr>
        <w:shd w:val="clear" w:color="auto" w:fill="FFFFFF"/>
        <w:spacing w:after="0" w:line="240" w:lineRule="auto"/>
        <w:outlineLvl w:val="0"/>
        <w:rPr>
          <w:rFonts w:eastAsia="Times New Roman" w:cs="Times New Roman"/>
          <w:color w:val="000000"/>
          <w:kern w:val="36"/>
          <w:lang w:eastAsia="en-GB"/>
        </w:rPr>
      </w:pPr>
      <w:r>
        <w:rPr>
          <w:rFonts w:eastAsia="Times New Roman" w:cs="Times New Roman"/>
          <w:color w:val="000000"/>
          <w:kern w:val="36"/>
          <w:lang w:eastAsia="en-GB"/>
        </w:rPr>
        <w:t>Reliability of upright weight-bearing distribution measures obtained by computed baropodometry for participants with and without post-stroke hemiparesis</w:t>
      </w:r>
    </w:p>
    <w:p>
      <w:pPr>
        <w:pStyle w:val="10"/>
        <w:shd w:val="clear" w:color="auto" w:fill="FFFFFF"/>
        <w:spacing w:after="0" w:line="240" w:lineRule="auto"/>
        <w:rPr>
          <w:rFonts w:eastAsia="Times New Roman" w:cs="Times New Roman"/>
          <w:color w:val="000000"/>
          <w:lang w:eastAsia="en-GB"/>
        </w:rPr>
      </w:pPr>
      <w:r>
        <w:rPr>
          <w:rFonts w:eastAsia="Times New Roman" w:cs="Times New Roman"/>
          <w:color w:val="000000"/>
          <w:lang w:eastAsia="en-GB"/>
        </w:rPr>
        <w:t>Published Online:22 Nov 2019</w:t>
      </w:r>
    </w:p>
    <w:p>
      <w:pPr>
        <w:pStyle w:val="10"/>
        <w:shd w:val="clear" w:color="auto" w:fill="FFFFFF"/>
        <w:spacing w:after="0" w:line="240" w:lineRule="auto"/>
        <w:rPr>
          <w:rFonts w:eastAsia="Times New Roman" w:cs="Times New Roman"/>
          <w:color w:val="000000"/>
          <w:lang w:eastAsia="en-GB"/>
        </w:rPr>
      </w:pPr>
      <w:r>
        <w:fldChar w:fldCharType="begin"/>
      </w:r>
      <w:r>
        <w:instrText xml:space="preserve"> HYPERLINK "https://doi.org/10.12968/ijtr.2018.0026" </w:instrText>
      </w:r>
      <w:r>
        <w:fldChar w:fldCharType="separate"/>
      </w:r>
      <w:r>
        <w:rPr>
          <w:rStyle w:val="8"/>
          <w:rFonts w:eastAsia="Times New Roman" w:cs="Times New Roman"/>
          <w:lang w:eastAsia="en-GB"/>
        </w:rPr>
        <w:t>https://doi.org/10.12968/ijtr.2018.0026</w:t>
      </w:r>
      <w:r>
        <w:rPr>
          <w:rStyle w:val="8"/>
          <w:rFonts w:eastAsia="Times New Roman" w:cs="Times New Roman"/>
          <w:lang w:eastAsia="en-GB"/>
        </w:rPr>
        <w:fldChar w:fldCharType="end"/>
      </w:r>
    </w:p>
    <w:p>
      <w:pPr>
        <w:spacing w:after="0" w:line="240" w:lineRule="auto"/>
      </w:pPr>
    </w:p>
    <w:p>
      <w:pPr>
        <w:pStyle w:val="10"/>
        <w:spacing w:after="0" w:line="240" w:lineRule="auto"/>
        <w:rPr>
          <w:b/>
          <w:bCs/>
        </w:rPr>
      </w:pPr>
      <w:r>
        <w:rPr>
          <w:b/>
          <w:bCs/>
        </w:rPr>
        <w:t>Journal of Paramedic Practice</w:t>
      </w:r>
    </w:p>
    <w:p>
      <w:pPr>
        <w:pStyle w:val="10"/>
        <w:shd w:val="clear" w:color="auto" w:fill="FFFFFF"/>
        <w:spacing w:after="0" w:line="240" w:lineRule="auto"/>
        <w:outlineLvl w:val="0"/>
        <w:rPr>
          <w:rFonts w:eastAsia="Times New Roman" w:cs="Times New Roman"/>
          <w:color w:val="000000"/>
          <w:kern w:val="36"/>
          <w:lang w:eastAsia="en-GB"/>
        </w:rPr>
      </w:pPr>
    </w:p>
    <w:p>
      <w:pPr>
        <w:pStyle w:val="10"/>
        <w:numPr>
          <w:ilvl w:val="0"/>
          <w:numId w:val="1"/>
        </w:numPr>
        <w:shd w:val="clear" w:color="auto" w:fill="FFFFFF"/>
        <w:spacing w:after="0" w:line="240" w:lineRule="auto"/>
        <w:outlineLvl w:val="0"/>
        <w:rPr>
          <w:rFonts w:eastAsia="Times New Roman" w:cs="Times New Roman"/>
          <w:color w:val="000000"/>
          <w:kern w:val="36"/>
          <w:lang w:eastAsia="en-GB"/>
        </w:rPr>
      </w:pPr>
      <w:r>
        <w:rPr>
          <w:rFonts w:eastAsia="Times New Roman" w:cs="Times New Roman"/>
          <w:color w:val="000000"/>
          <w:kern w:val="36"/>
          <w:lang w:eastAsia="en-GB"/>
        </w:rPr>
        <w:t>Effect of blood pressure on stroke severity and outcomes in acute cases</w:t>
      </w:r>
    </w:p>
    <w:p>
      <w:pPr>
        <w:pStyle w:val="10"/>
        <w:shd w:val="clear" w:color="auto" w:fill="FFFFFF"/>
        <w:spacing w:after="0" w:line="240" w:lineRule="auto"/>
        <w:rPr>
          <w:rFonts w:eastAsia="Times New Roman" w:cs="Times New Roman"/>
          <w:color w:val="000000"/>
          <w:lang w:eastAsia="en-GB"/>
        </w:rPr>
      </w:pPr>
      <w:r>
        <w:rPr>
          <w:rFonts w:eastAsia="Times New Roman" w:cs="Times New Roman"/>
          <w:color w:val="000000"/>
          <w:lang w:eastAsia="en-GB"/>
        </w:rPr>
        <w:t>Published Online:8 Apr 2020</w:t>
      </w:r>
    </w:p>
    <w:p>
      <w:pPr>
        <w:pStyle w:val="10"/>
        <w:shd w:val="clear" w:color="auto" w:fill="FFFFFF"/>
        <w:spacing w:after="0" w:line="240" w:lineRule="auto"/>
        <w:rPr>
          <w:rFonts w:eastAsia="Times New Roman" w:cs="Times New Roman"/>
          <w:color w:val="000000"/>
          <w:lang w:eastAsia="en-GB"/>
        </w:rPr>
      </w:pPr>
      <w:r>
        <w:fldChar w:fldCharType="begin"/>
      </w:r>
      <w:r>
        <w:instrText xml:space="preserve"> HYPERLINK "https://doi.org/10.12968/jpar.2020.12.4.157" </w:instrText>
      </w:r>
      <w:r>
        <w:fldChar w:fldCharType="separate"/>
      </w:r>
      <w:r>
        <w:rPr>
          <w:rStyle w:val="8"/>
          <w:rFonts w:eastAsia="Times New Roman" w:cs="Times New Roman"/>
          <w:lang w:eastAsia="en-GB"/>
        </w:rPr>
        <w:t>https://doi.org/10.12968/jpar.2020.12.4.157</w:t>
      </w:r>
      <w:r>
        <w:rPr>
          <w:rStyle w:val="8"/>
          <w:rFonts w:eastAsia="Times New Roman" w:cs="Times New Roman"/>
          <w:lang w:eastAsia="en-GB"/>
        </w:rPr>
        <w:fldChar w:fldCharType="end"/>
      </w:r>
    </w:p>
    <w:p>
      <w:pPr>
        <w:spacing w:after="0" w:line="240" w:lineRule="auto"/>
      </w:pPr>
    </w:p>
    <w:p>
      <w:pPr>
        <w:spacing w:after="0" w:line="240" w:lineRule="auto"/>
      </w:pPr>
    </w:p>
    <w:sectPr>
      <w:headerReference r:id="rId3" w:type="default"/>
      <w:pgSz w:w="11906" w:h="16838"/>
      <w:pgMar w:top="1440" w:right="1440" w:bottom="1440" w:left="1440" w:header="708" w:footer="708" w:gutter="0"/>
      <w:pgBorders w:offsetFrom="page">
        <w:top w:val="single" w:color="00E2A7" w:sz="36" w:space="24"/>
        <w:left w:val="single" w:color="00E2A7" w:sz="36" w:space="24"/>
        <w:bottom w:val="single" w:color="00E2A7" w:sz="36" w:space="24"/>
        <w:right w:val="single" w:color="00E2A7" w:sz="36" w:space="24"/>
      </w:pgBorders>
      <w:cols w:space="708"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Symbol">
    <w:panose1 w:val="05050102010706020507"/>
    <w:charset w:val="02"/>
    <w:family w:val="roman"/>
    <w:pitch w:val="default"/>
    <w:sig w:usb0="00000000" w:usb1="00000000" w:usb2="00000000" w:usb3="00000000" w:csb0="80000000"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9C5EDD"/>
    <w:multiLevelType w:val="multilevel"/>
    <w:tmpl w:val="149C5EDD"/>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cumentProtection w:enforcement="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7757"/>
    <w:rsid w:val="000041CD"/>
    <w:rsid w:val="00007652"/>
    <w:rsid w:val="00010DB6"/>
    <w:rsid w:val="00015CB1"/>
    <w:rsid w:val="00050366"/>
    <w:rsid w:val="00055D22"/>
    <w:rsid w:val="00081FA3"/>
    <w:rsid w:val="000A06B2"/>
    <w:rsid w:val="000B2B1E"/>
    <w:rsid w:val="000C02E0"/>
    <w:rsid w:val="000F0284"/>
    <w:rsid w:val="000F7B37"/>
    <w:rsid w:val="00101C9D"/>
    <w:rsid w:val="00107AFC"/>
    <w:rsid w:val="001309BC"/>
    <w:rsid w:val="001673A6"/>
    <w:rsid w:val="00176C02"/>
    <w:rsid w:val="001B6BEC"/>
    <w:rsid w:val="001D5BAC"/>
    <w:rsid w:val="001E0288"/>
    <w:rsid w:val="001E7B57"/>
    <w:rsid w:val="00201018"/>
    <w:rsid w:val="002631A1"/>
    <w:rsid w:val="0026791D"/>
    <w:rsid w:val="002B77E2"/>
    <w:rsid w:val="002F00B2"/>
    <w:rsid w:val="00383BBA"/>
    <w:rsid w:val="00383DCA"/>
    <w:rsid w:val="0039534A"/>
    <w:rsid w:val="003A4F1F"/>
    <w:rsid w:val="003B0786"/>
    <w:rsid w:val="003E6980"/>
    <w:rsid w:val="00405BEE"/>
    <w:rsid w:val="00410D00"/>
    <w:rsid w:val="00435CB2"/>
    <w:rsid w:val="0048566A"/>
    <w:rsid w:val="004B057F"/>
    <w:rsid w:val="004C2692"/>
    <w:rsid w:val="00505DFF"/>
    <w:rsid w:val="00521665"/>
    <w:rsid w:val="00541B40"/>
    <w:rsid w:val="00553791"/>
    <w:rsid w:val="00557C7D"/>
    <w:rsid w:val="00573E1F"/>
    <w:rsid w:val="005C4CDE"/>
    <w:rsid w:val="005C546C"/>
    <w:rsid w:val="005D1BFD"/>
    <w:rsid w:val="005D74FB"/>
    <w:rsid w:val="005E7A28"/>
    <w:rsid w:val="005F038A"/>
    <w:rsid w:val="006019D6"/>
    <w:rsid w:val="006217C8"/>
    <w:rsid w:val="00632164"/>
    <w:rsid w:val="006408FD"/>
    <w:rsid w:val="00644523"/>
    <w:rsid w:val="00693BC9"/>
    <w:rsid w:val="006A1A5B"/>
    <w:rsid w:val="006C06B1"/>
    <w:rsid w:val="006D7140"/>
    <w:rsid w:val="006E112D"/>
    <w:rsid w:val="007116D1"/>
    <w:rsid w:val="00721A02"/>
    <w:rsid w:val="00762F89"/>
    <w:rsid w:val="007822C4"/>
    <w:rsid w:val="007A4CE0"/>
    <w:rsid w:val="007C27C2"/>
    <w:rsid w:val="007D6D2A"/>
    <w:rsid w:val="007E284D"/>
    <w:rsid w:val="00815B68"/>
    <w:rsid w:val="00831D9C"/>
    <w:rsid w:val="008330BA"/>
    <w:rsid w:val="008646B2"/>
    <w:rsid w:val="008730CD"/>
    <w:rsid w:val="00884F20"/>
    <w:rsid w:val="008A0219"/>
    <w:rsid w:val="008B15EB"/>
    <w:rsid w:val="008B2E08"/>
    <w:rsid w:val="009047BE"/>
    <w:rsid w:val="00923CD4"/>
    <w:rsid w:val="00933A82"/>
    <w:rsid w:val="00947381"/>
    <w:rsid w:val="00994D5D"/>
    <w:rsid w:val="009A63A5"/>
    <w:rsid w:val="009A7AE9"/>
    <w:rsid w:val="009C14B7"/>
    <w:rsid w:val="009C49AF"/>
    <w:rsid w:val="00A36894"/>
    <w:rsid w:val="00A51922"/>
    <w:rsid w:val="00A52620"/>
    <w:rsid w:val="00A6210A"/>
    <w:rsid w:val="00A8603C"/>
    <w:rsid w:val="00AE17CA"/>
    <w:rsid w:val="00AE2836"/>
    <w:rsid w:val="00B30F9C"/>
    <w:rsid w:val="00B54384"/>
    <w:rsid w:val="00B77757"/>
    <w:rsid w:val="00B814C9"/>
    <w:rsid w:val="00BB4384"/>
    <w:rsid w:val="00BB790C"/>
    <w:rsid w:val="00BB7CAE"/>
    <w:rsid w:val="00BE4F13"/>
    <w:rsid w:val="00BE5EC9"/>
    <w:rsid w:val="00C14F0F"/>
    <w:rsid w:val="00C4250E"/>
    <w:rsid w:val="00C43D2C"/>
    <w:rsid w:val="00C46BB1"/>
    <w:rsid w:val="00C51B43"/>
    <w:rsid w:val="00C92599"/>
    <w:rsid w:val="00C95FB2"/>
    <w:rsid w:val="00CB0573"/>
    <w:rsid w:val="00CD2873"/>
    <w:rsid w:val="00CE5817"/>
    <w:rsid w:val="00D2511C"/>
    <w:rsid w:val="00D319B5"/>
    <w:rsid w:val="00D60881"/>
    <w:rsid w:val="00DF5642"/>
    <w:rsid w:val="00E01E53"/>
    <w:rsid w:val="00E06FBD"/>
    <w:rsid w:val="00E522F6"/>
    <w:rsid w:val="00E74E12"/>
    <w:rsid w:val="00E75AF5"/>
    <w:rsid w:val="00E77078"/>
    <w:rsid w:val="00E8372D"/>
    <w:rsid w:val="00E93FD8"/>
    <w:rsid w:val="00EB0047"/>
    <w:rsid w:val="00EB7DED"/>
    <w:rsid w:val="00EE4302"/>
    <w:rsid w:val="00EF0EFE"/>
    <w:rsid w:val="00F0059F"/>
    <w:rsid w:val="00F128D5"/>
    <w:rsid w:val="00F16517"/>
    <w:rsid w:val="00F2566C"/>
    <w:rsid w:val="00F259CB"/>
    <w:rsid w:val="00F32529"/>
    <w:rsid w:val="00F5271D"/>
    <w:rsid w:val="00F61CFF"/>
    <w:rsid w:val="00F642B0"/>
    <w:rsid w:val="00F8120B"/>
    <w:rsid w:val="00FD4793"/>
    <w:rsid w:val="3A9B05B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HAnsi"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en-GB" w:eastAsia="en-US" w:bidi="ar-SA"/>
    </w:rPr>
  </w:style>
  <w:style w:type="paragraph" w:styleId="2">
    <w:name w:val="heading 1"/>
    <w:basedOn w:val="1"/>
    <w:next w:val="1"/>
    <w:link w:val="15"/>
    <w:qFormat/>
    <w:uiPriority w:val="9"/>
    <w:pPr>
      <w:spacing w:before="100" w:beforeAutospacing="1" w:after="100" w:afterAutospacing="1" w:line="240" w:lineRule="auto"/>
      <w:outlineLvl w:val="0"/>
    </w:pPr>
    <w:rPr>
      <w:rFonts w:ascii="Times New Roman" w:hAnsi="Times New Roman" w:eastAsia="Times New Roman" w:cs="Times New Roman"/>
      <w:b/>
      <w:bCs/>
      <w:kern w:val="36"/>
      <w:sz w:val="48"/>
      <w:szCs w:val="48"/>
      <w:lang w:eastAsia="en-GB"/>
    </w:rPr>
  </w:style>
  <w:style w:type="character" w:default="1" w:styleId="6">
    <w:name w:val="Default Paragraph Font"/>
    <w:semiHidden/>
    <w:unhideWhenUsed/>
    <w:uiPriority w:val="1"/>
  </w:style>
  <w:style w:type="table" w:default="1" w:styleId="9">
    <w:name w:val="Normal Table"/>
    <w:semiHidden/>
    <w:unhideWhenUsed/>
    <w:uiPriority w:val="99"/>
    <w:tblPr>
      <w:tblCellMar>
        <w:top w:w="0" w:type="dxa"/>
        <w:left w:w="108" w:type="dxa"/>
        <w:bottom w:w="0" w:type="dxa"/>
        <w:right w:w="108" w:type="dxa"/>
      </w:tblCellMar>
    </w:tblPr>
  </w:style>
  <w:style w:type="paragraph" w:styleId="3">
    <w:name w:val="Balloon Text"/>
    <w:basedOn w:val="1"/>
    <w:link w:val="13"/>
    <w:semiHidden/>
    <w:unhideWhenUsed/>
    <w:uiPriority w:val="99"/>
    <w:pPr>
      <w:spacing w:after="0" w:line="240" w:lineRule="auto"/>
    </w:pPr>
    <w:rPr>
      <w:rFonts w:ascii="Tahoma" w:hAnsi="Tahoma" w:cs="Tahoma"/>
      <w:sz w:val="16"/>
      <w:szCs w:val="16"/>
    </w:rPr>
  </w:style>
  <w:style w:type="paragraph" w:styleId="4">
    <w:name w:val="footer"/>
    <w:basedOn w:val="1"/>
    <w:link w:val="12"/>
    <w:unhideWhenUsed/>
    <w:uiPriority w:val="99"/>
    <w:pPr>
      <w:tabs>
        <w:tab w:val="center" w:pos="4513"/>
        <w:tab w:val="right" w:pos="9026"/>
      </w:tabs>
      <w:spacing w:after="0" w:line="240" w:lineRule="auto"/>
    </w:pPr>
  </w:style>
  <w:style w:type="paragraph" w:styleId="5">
    <w:name w:val="header"/>
    <w:basedOn w:val="1"/>
    <w:link w:val="11"/>
    <w:unhideWhenUsed/>
    <w:uiPriority w:val="99"/>
    <w:pPr>
      <w:tabs>
        <w:tab w:val="center" w:pos="4513"/>
        <w:tab w:val="right" w:pos="9026"/>
      </w:tabs>
      <w:spacing w:after="0" w:line="240" w:lineRule="auto"/>
    </w:pPr>
  </w:style>
  <w:style w:type="character" w:styleId="7">
    <w:name w:val="FollowedHyperlink"/>
    <w:basedOn w:val="6"/>
    <w:semiHidden/>
    <w:unhideWhenUsed/>
    <w:uiPriority w:val="99"/>
    <w:rPr>
      <w:color w:val="800080" w:themeColor="followedHyperlink"/>
      <w:u w:val="single"/>
      <w14:textFill>
        <w14:solidFill>
          <w14:schemeClr w14:val="folHlink"/>
        </w14:solidFill>
      </w14:textFill>
    </w:rPr>
  </w:style>
  <w:style w:type="character" w:styleId="8">
    <w:name w:val="Hyperlink"/>
    <w:basedOn w:val="6"/>
    <w:unhideWhenUsed/>
    <w:uiPriority w:val="99"/>
    <w:rPr>
      <w:color w:val="0000FF" w:themeColor="hyperlink"/>
      <w:u w:val="single"/>
      <w14:textFill>
        <w14:solidFill>
          <w14:schemeClr w14:val="hlink"/>
        </w14:solidFill>
      </w14:textFill>
    </w:rPr>
  </w:style>
  <w:style w:type="paragraph" w:styleId="10">
    <w:name w:val="List Paragraph"/>
    <w:basedOn w:val="1"/>
    <w:qFormat/>
    <w:uiPriority w:val="34"/>
    <w:pPr>
      <w:ind w:left="720"/>
      <w:contextualSpacing/>
    </w:pPr>
  </w:style>
  <w:style w:type="character" w:customStyle="1" w:styleId="11">
    <w:name w:val="Header Char"/>
    <w:basedOn w:val="6"/>
    <w:link w:val="5"/>
    <w:uiPriority w:val="99"/>
  </w:style>
  <w:style w:type="character" w:customStyle="1" w:styleId="12">
    <w:name w:val="Footer Char"/>
    <w:basedOn w:val="6"/>
    <w:link w:val="4"/>
    <w:uiPriority w:val="99"/>
  </w:style>
  <w:style w:type="character" w:customStyle="1" w:styleId="13">
    <w:name w:val="Balloon Text Char"/>
    <w:basedOn w:val="6"/>
    <w:link w:val="3"/>
    <w:semiHidden/>
    <w:uiPriority w:val="99"/>
    <w:rPr>
      <w:rFonts w:ascii="Tahoma" w:hAnsi="Tahoma" w:cs="Tahoma"/>
      <w:sz w:val="16"/>
      <w:szCs w:val="16"/>
    </w:rPr>
  </w:style>
  <w:style w:type="character" w:customStyle="1" w:styleId="14">
    <w:name w:val="Unresolved Mention"/>
    <w:basedOn w:val="6"/>
    <w:semiHidden/>
    <w:unhideWhenUsed/>
    <w:uiPriority w:val="99"/>
    <w:rPr>
      <w:color w:val="808080"/>
      <w:shd w:val="clear" w:color="auto" w:fill="E6E6E6"/>
    </w:rPr>
  </w:style>
  <w:style w:type="character" w:customStyle="1" w:styleId="15">
    <w:name w:val="Heading 1 Char"/>
    <w:basedOn w:val="6"/>
    <w:link w:val="2"/>
    <w:uiPriority w:val="9"/>
    <w:rPr>
      <w:rFonts w:ascii="Times New Roman" w:hAnsi="Times New Roman" w:eastAsia="Times New Roman" w:cs="Times New Roman"/>
      <w:b/>
      <w:bCs/>
      <w:kern w:val="36"/>
      <w:sz w:val="48"/>
      <w:szCs w:val="48"/>
      <w:lang w:eastAsia="en-GB"/>
    </w:rPr>
  </w:style>
  <w:style w:type="character" w:customStyle="1" w:styleId="16">
    <w:name w:val="nlm_contrib-group"/>
    <w:basedOn w:val="6"/>
    <w:uiPriority w:val="0"/>
  </w:style>
  <w:style w:type="character" w:customStyle="1" w:styleId="17">
    <w:name w:val="contribdegrees"/>
    <w:basedOn w:val="6"/>
    <w:uiPriority w:val="0"/>
  </w:style>
  <w:style w:type="character" w:customStyle="1" w:styleId="18">
    <w:name w:val="apple-converted-space"/>
    <w:basedOn w:val="6"/>
    <w:uiPriority w:val="0"/>
  </w:style>
  <w:style w:type="character" w:customStyle="1" w:styleId="19">
    <w:name w:val="epub-section__item"/>
    <w:basedOn w:val="6"/>
    <w:uiPriority w:val="0"/>
  </w:style>
  <w:style w:type="character" w:customStyle="1" w:styleId="20">
    <w:name w:val="epub-section__state"/>
    <w:basedOn w:val="6"/>
    <w:qFormat/>
    <w:uiPriority w:val="0"/>
  </w:style>
  <w:style w:type="character" w:customStyle="1" w:styleId="21">
    <w:name w:val="epub-section__date"/>
    <w:basedOn w:val="6"/>
    <w:qFormat/>
    <w:uiPriority w:val="0"/>
  </w:style>
  <w:style w:type="paragraph" w:customStyle="1" w:styleId="22">
    <w:name w:val="coolbar__section"/>
    <w:basedOn w:val="1"/>
    <w:uiPriority w:val="0"/>
    <w:pPr>
      <w:spacing w:before="100" w:beforeAutospacing="1" w:after="100" w:afterAutospacing="1" w:line="240" w:lineRule="auto"/>
    </w:pPr>
    <w:rPr>
      <w:rFonts w:ascii="Times New Roman" w:hAnsi="Times New Roman" w:eastAsia="Times New Roman" w:cs="Times New Roman"/>
      <w:sz w:val="24"/>
      <w:szCs w:val="24"/>
      <w:lang w:eastAsia="en-GB"/>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2.jpeg"/><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AFF3786-1D68-4B3F-BF48-C72630EF2289}">
  <ds:schemaRefs/>
</ds:datastoreItem>
</file>

<file path=docProps/app.xml><?xml version="1.0" encoding="utf-8"?>
<Properties xmlns="http://schemas.openxmlformats.org/officeDocument/2006/extended-properties" xmlns:vt="http://schemas.openxmlformats.org/officeDocument/2006/docPropsVTypes">
  <Template>Normal</Template>
  <Company>Hewlett-Packard Company</Company>
  <Pages>3</Pages>
  <Words>881</Words>
  <Characters>5028</Characters>
  <Lines>41</Lines>
  <Paragraphs>11</Paragraphs>
  <TotalTime>20</TotalTime>
  <ScaleCrop>false</ScaleCrop>
  <LinksUpToDate>false</LinksUpToDate>
  <CharactersWithSpaces>5898</CharactersWithSpaces>
  <Application>WPS Office_11.2.0.9281_F1E327BC-269C-435d-A152-05C5408002CA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2020-05-04T08:55:00Z</dcterms:created>
  <dc:creator>Arielle Medrano</dc:creator>
  <cp:lastModifiedBy>User</cp:lastModifiedBy>
  <dcterms:modified xsi:type="dcterms:W3CDTF">2020-05-04T11:49:14Z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2057-11.2.0.9281</vt:lpwstr>
  </property>
</Properties>
</file>