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72" w:rsidRDefault="000A4D72" w:rsidP="000A4D72">
      <w:pPr>
        <w:pStyle w:val="Heading2"/>
        <w:jc w:val="center"/>
        <w:rPr>
          <w:rFonts w:asciiTheme="minorHAnsi" w:eastAsia="Times New Roman" w:hAnsiTheme="minorHAnsi"/>
        </w:rPr>
      </w:pPr>
      <w:r>
        <w:rPr>
          <w:noProof/>
        </w:rPr>
        <w:t xml:space="preserve">                                                                                                            </w:t>
      </w:r>
      <w:r>
        <w:rPr>
          <w:noProof/>
        </w:rPr>
        <w:drawing>
          <wp:inline distT="0" distB="0" distL="0" distR="0" wp14:anchorId="43636380" wp14:editId="56ED0003">
            <wp:extent cx="623824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38240" cy="609600"/>
                    </a:xfrm>
                    <a:prstGeom prst="rect">
                      <a:avLst/>
                    </a:prstGeom>
                    <a:noFill/>
                  </pic:spPr>
                </pic:pic>
              </a:graphicData>
            </a:graphic>
          </wp:inline>
        </w:drawing>
      </w:r>
    </w:p>
    <w:p w:rsidR="000A4D72" w:rsidRDefault="000A4D72" w:rsidP="000A4D72">
      <w:pPr>
        <w:pStyle w:val="Heading2"/>
        <w:jc w:val="center"/>
        <w:rPr>
          <w:rFonts w:asciiTheme="minorHAnsi" w:eastAsia="Times New Roman" w:hAnsiTheme="minorHAnsi"/>
        </w:rPr>
      </w:pPr>
    </w:p>
    <w:p w:rsidR="000A4D72" w:rsidRDefault="000A4D72" w:rsidP="000A4D72">
      <w:pPr>
        <w:pStyle w:val="Heading2"/>
        <w:jc w:val="center"/>
        <w:rPr>
          <w:rFonts w:asciiTheme="minorHAnsi" w:eastAsia="Times New Roman" w:hAnsiTheme="minorHAnsi"/>
        </w:rPr>
      </w:pPr>
      <w:r>
        <w:rPr>
          <w:rFonts w:asciiTheme="minorHAnsi" w:eastAsia="Times New Roman" w:hAnsiTheme="minorHAnsi"/>
          <w:noProof/>
        </w:rPr>
        <w:drawing>
          <wp:inline distT="0" distB="0" distL="0" distR="0">
            <wp:extent cx="5876925" cy="771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_logo_dark1.png"/>
                    <pic:cNvPicPr/>
                  </pic:nvPicPr>
                  <pic:blipFill rotWithShape="1">
                    <a:blip r:embed="rId6">
                      <a:extLst>
                        <a:ext uri="{28A0092B-C50C-407E-A947-70E740481C1C}">
                          <a14:useLocalDpi xmlns:a14="http://schemas.microsoft.com/office/drawing/2010/main" val="0"/>
                        </a:ext>
                      </a:extLst>
                    </a:blip>
                    <a:srcRect l="-55666" t="-26414" r="-50002" b="-26417"/>
                    <a:stretch/>
                  </pic:blipFill>
                  <pic:spPr bwMode="auto">
                    <a:xfrm>
                      <a:off x="0" y="0"/>
                      <a:ext cx="5876925" cy="771525"/>
                    </a:xfrm>
                    <a:prstGeom prst="rect">
                      <a:avLst/>
                    </a:prstGeom>
                    <a:solidFill>
                      <a:schemeClr val="accent3">
                        <a:lumMod val="75000"/>
                      </a:schemeClr>
                    </a:solidFill>
                    <a:ln>
                      <a:noFill/>
                    </a:ln>
                    <a:extLst>
                      <a:ext uri="{53640926-AAD7-44D8-BBD7-CCE9431645EC}">
                        <a14:shadowObscured xmlns:a14="http://schemas.microsoft.com/office/drawing/2010/main"/>
                      </a:ext>
                    </a:extLst>
                  </pic:spPr>
                </pic:pic>
              </a:graphicData>
            </a:graphic>
          </wp:inline>
        </w:drawing>
      </w:r>
    </w:p>
    <w:p w:rsidR="000A4D72" w:rsidRPr="008102F2" w:rsidRDefault="000A4D72" w:rsidP="000A4D72">
      <w:pPr>
        <w:pStyle w:val="Heading2"/>
        <w:jc w:val="center"/>
        <w:rPr>
          <w:rFonts w:asciiTheme="minorHAnsi" w:eastAsia="Times New Roman" w:hAnsiTheme="minorHAnsi"/>
          <w:i/>
        </w:rPr>
      </w:pPr>
      <w:r w:rsidRPr="008102F2">
        <w:rPr>
          <w:rFonts w:asciiTheme="minorHAnsi" w:eastAsia="Times New Roman" w:hAnsiTheme="minorHAnsi"/>
          <w:i/>
        </w:rPr>
        <w:t>NHS information support for evidence-based practice</w:t>
      </w:r>
    </w:p>
    <w:p w:rsidR="000A4D72" w:rsidRDefault="005E4B87" w:rsidP="000A4D72">
      <w:pPr>
        <w:pStyle w:val="Heading2"/>
        <w:jc w:val="center"/>
        <w:rPr>
          <w:rFonts w:asciiTheme="minorHAnsi" w:eastAsia="Times New Roman" w:hAnsiTheme="minorHAnsi"/>
        </w:rPr>
      </w:pPr>
      <w:r>
        <w:rPr>
          <w:rFonts w:asciiTheme="minorHAnsi" w:eastAsia="Times New Roman" w:hAnsiTheme="minorHAnsi"/>
        </w:rPr>
        <w:t>Executive leadership and management</w:t>
      </w:r>
    </w:p>
    <w:p w:rsidR="009B34F0" w:rsidRDefault="005E4B87" w:rsidP="000A4D72">
      <w:pPr>
        <w:pStyle w:val="Heading2"/>
        <w:jc w:val="center"/>
        <w:rPr>
          <w:rFonts w:asciiTheme="minorHAnsi" w:eastAsia="Times New Roman" w:hAnsiTheme="minorHAnsi"/>
        </w:rPr>
      </w:pPr>
      <w:r>
        <w:rPr>
          <w:rFonts w:asciiTheme="minorHAnsi" w:eastAsia="Times New Roman" w:hAnsiTheme="minorHAnsi"/>
        </w:rPr>
        <w:t>February 2017</w:t>
      </w:r>
    </w:p>
    <w:p w:rsidR="005E4B87" w:rsidRDefault="005E4B87" w:rsidP="000A4D72">
      <w:pPr>
        <w:pStyle w:val="Heading2"/>
        <w:jc w:val="center"/>
        <w:rPr>
          <w:rFonts w:asciiTheme="minorHAnsi" w:eastAsia="Times New Roman" w:hAnsiTheme="minorHAnsi"/>
        </w:rPr>
      </w:pPr>
    </w:p>
    <w:p w:rsidR="005E4B87" w:rsidRPr="005E4B87" w:rsidRDefault="005E4B87" w:rsidP="005E4B87">
      <w:pPr>
        <w:pStyle w:val="Heading2"/>
        <w:rPr>
          <w:rFonts w:asciiTheme="minorHAnsi" w:eastAsia="Times New Roman" w:hAnsiTheme="minorHAnsi"/>
          <w:sz w:val="24"/>
          <w:szCs w:val="24"/>
        </w:rPr>
      </w:pPr>
      <w:r w:rsidRPr="005E4B87">
        <w:rPr>
          <w:rFonts w:asciiTheme="minorHAnsi" w:eastAsia="Times New Roman" w:hAnsiTheme="minorHAnsi"/>
          <w:sz w:val="24"/>
          <w:szCs w:val="24"/>
        </w:rPr>
        <w:t>Executive leadership and management</w:t>
      </w:r>
    </w:p>
    <w:p w:rsidR="005E4B87" w:rsidRPr="005E4B87" w:rsidRDefault="005E4B87" w:rsidP="005E4B87">
      <w:pPr>
        <w:pStyle w:val="Heading3"/>
        <w:rPr>
          <w:rFonts w:asciiTheme="minorHAnsi" w:eastAsia="Times New Roman" w:hAnsiTheme="minorHAnsi"/>
          <w:sz w:val="24"/>
          <w:szCs w:val="24"/>
        </w:rPr>
      </w:pPr>
      <w:r w:rsidRPr="005E4B87">
        <w:rPr>
          <w:rFonts w:asciiTheme="minorHAnsi" w:eastAsia="Times New Roman" w:hAnsiTheme="minorHAnsi"/>
          <w:sz w:val="24"/>
          <w:szCs w:val="24"/>
        </w:rPr>
        <w:t>Articles</w:t>
      </w:r>
    </w:p>
    <w:p w:rsidR="005E4B87" w:rsidRPr="005E4B87" w:rsidRDefault="005E4B87" w:rsidP="005E4B87">
      <w:pPr>
        <w:spacing w:after="240"/>
        <w:rPr>
          <w:rFonts w:asciiTheme="minorHAnsi" w:eastAsia="Times New Roman" w:hAnsiTheme="minorHAnsi"/>
        </w:rPr>
      </w:pPr>
      <w:r w:rsidRPr="005E4B87">
        <w:rPr>
          <w:rStyle w:val="Emphasis"/>
          <w:rFonts w:asciiTheme="minorHAnsi" w:eastAsia="Times New Roman" w:hAnsiTheme="minorHAnsi"/>
        </w:rPr>
        <w:t>The following journal articles are available from the Library and Knowledge Service electronically or in print. Please follow links to access full text online, contact me to order copies, or call into your nearest library.</w:t>
      </w:r>
      <w:r w:rsidRPr="005E4B87">
        <w:rPr>
          <w:rFonts w:asciiTheme="minorHAnsi" w:eastAsia="Times New Roman" w:hAnsiTheme="minorHAnsi"/>
        </w:rPr>
        <w:br/>
      </w:r>
      <w:r w:rsidRPr="005E4B87">
        <w:rPr>
          <w:rFonts w:asciiTheme="minorHAnsi" w:eastAsia="Times New Roman" w:hAnsiTheme="minorHAnsi"/>
        </w:rPr>
        <w:br/>
      </w:r>
      <w:hyperlink r:id="rId7" w:history="1">
        <w:proofErr w:type="gramStart"/>
        <w:r w:rsidRPr="005E4B87">
          <w:rPr>
            <w:rStyle w:val="Hyperlink"/>
            <w:rFonts w:asciiTheme="minorHAnsi" w:eastAsia="Times New Roman" w:hAnsiTheme="minorHAnsi"/>
            <w:b/>
            <w:bCs/>
          </w:rPr>
          <w:t>A matter of trust.</w:t>
        </w:r>
        <w:proofErr w:type="gramEnd"/>
      </w:hyperlink>
      <w:r w:rsidRPr="005E4B87">
        <w:rPr>
          <w:rFonts w:asciiTheme="minorHAnsi" w:eastAsia="Times New Roman" w:hAnsiTheme="minorHAnsi"/>
        </w:rPr>
        <w:br/>
        <w:t xml:space="preserve">Merrett H. </w:t>
      </w:r>
      <w:r w:rsidRPr="005E4B87">
        <w:rPr>
          <w:rFonts w:asciiTheme="minorHAnsi" w:eastAsia="Times New Roman" w:hAnsiTheme="minorHAnsi"/>
          <w:i/>
          <w:iCs/>
        </w:rPr>
        <w:t xml:space="preserve">Clinical Risk </w:t>
      </w:r>
      <w:r w:rsidRPr="005E4B87">
        <w:rPr>
          <w:rFonts w:asciiTheme="minorHAnsi" w:eastAsia="Times New Roman" w:hAnsiTheme="minorHAnsi"/>
        </w:rPr>
        <w:t>2016</w:t>
      </w:r>
      <w:proofErr w:type="gramStart"/>
      <w:r w:rsidRPr="005E4B87">
        <w:rPr>
          <w:rFonts w:asciiTheme="minorHAnsi" w:eastAsia="Times New Roman" w:hAnsiTheme="minorHAnsi"/>
        </w:rPr>
        <w:t>;22</w:t>
      </w:r>
      <w:proofErr w:type="gramEnd"/>
      <w:r w:rsidRPr="005E4B87">
        <w:rPr>
          <w:rFonts w:asciiTheme="minorHAnsi" w:eastAsia="Times New Roman" w:hAnsiTheme="minorHAnsi"/>
        </w:rPr>
        <w:t>(3-4):44 - 45.</w:t>
      </w:r>
      <w:r w:rsidRPr="005E4B87">
        <w:rPr>
          <w:rFonts w:asciiTheme="minorHAnsi" w:eastAsia="Times New Roman" w:hAnsiTheme="minorHAnsi"/>
        </w:rPr>
        <w:br/>
      </w:r>
      <w:proofErr w:type="gramStart"/>
      <w:r w:rsidRPr="005E4B87">
        <w:rPr>
          <w:rFonts w:asciiTheme="minorHAnsi" w:eastAsia="Times New Roman" w:hAnsiTheme="minorHAnsi"/>
        </w:rPr>
        <w:t>[Editorial.</w:t>
      </w:r>
      <w:proofErr w:type="gramEnd"/>
      <w:r w:rsidRPr="005E4B87">
        <w:rPr>
          <w:rFonts w:asciiTheme="minorHAnsi" w:eastAsia="Times New Roman" w:hAnsiTheme="minorHAnsi"/>
        </w:rPr>
        <w:t xml:space="preserve"> 'An attendee at a patient safety conference recently asked the speakers whether we felt that the effect of being placed in special measures was so devastating to staff morale as to render improvements at the organisation in question almost impossible. This prompted me to think about trust and communications across the health community, and their role in facilitating – or blocking – the open and transparent culture that is surely a prerequisite to improving safety.']</w:t>
      </w:r>
      <w:r w:rsidRPr="005E4B87">
        <w:rPr>
          <w:rFonts w:asciiTheme="minorHAnsi" w:eastAsia="Times New Roman" w:hAnsiTheme="minorHAnsi"/>
        </w:rPr>
        <w:br/>
      </w:r>
      <w:r w:rsidRPr="005E4B87">
        <w:rPr>
          <w:rFonts w:asciiTheme="minorHAnsi" w:eastAsia="Times New Roman" w:hAnsiTheme="minorHAnsi"/>
          <w:i/>
          <w:iCs/>
        </w:rPr>
        <w:t>Freely available online</w:t>
      </w:r>
    </w:p>
    <w:p w:rsidR="005E4B87" w:rsidRPr="005E4B87" w:rsidRDefault="005E4B87" w:rsidP="005E4B87">
      <w:pPr>
        <w:pStyle w:val="Heading3"/>
        <w:rPr>
          <w:rFonts w:asciiTheme="minorHAnsi" w:eastAsia="Times New Roman" w:hAnsiTheme="minorHAnsi"/>
          <w:sz w:val="24"/>
          <w:szCs w:val="24"/>
        </w:rPr>
      </w:pPr>
      <w:r w:rsidRPr="005E4B87">
        <w:rPr>
          <w:rFonts w:asciiTheme="minorHAnsi" w:eastAsia="Times New Roman" w:hAnsiTheme="minorHAnsi"/>
          <w:sz w:val="24"/>
          <w:szCs w:val="24"/>
        </w:rPr>
        <w:t>Books</w:t>
      </w:r>
    </w:p>
    <w:p w:rsidR="005E4B87" w:rsidRPr="005E4B87" w:rsidRDefault="005E4B87" w:rsidP="005E4B87">
      <w:pPr>
        <w:spacing w:after="240"/>
        <w:rPr>
          <w:rFonts w:asciiTheme="minorHAnsi" w:eastAsia="Times New Roman" w:hAnsiTheme="minorHAnsi"/>
        </w:rPr>
      </w:pPr>
      <w:proofErr w:type="gramStart"/>
      <w:r w:rsidRPr="005E4B87">
        <w:rPr>
          <w:rStyle w:val="Emphasis"/>
          <w:rFonts w:asciiTheme="minorHAnsi" w:eastAsia="Times New Roman" w:hAnsiTheme="minorHAnsi"/>
        </w:rPr>
        <w:t>New book(s) from the Library and Knowledge Service.</w:t>
      </w:r>
      <w:proofErr w:type="gramEnd"/>
      <w:r w:rsidRPr="005E4B87">
        <w:rPr>
          <w:rStyle w:val="Emphasis"/>
          <w:rFonts w:asciiTheme="minorHAnsi" w:eastAsia="Times New Roman" w:hAnsiTheme="minorHAnsi"/>
        </w:rPr>
        <w:t xml:space="preserve"> Call into your nearest library or contact me for more information.</w:t>
      </w:r>
      <w:r w:rsidRPr="005E4B87">
        <w:rPr>
          <w:rFonts w:asciiTheme="minorHAnsi" w:eastAsia="Times New Roman" w:hAnsiTheme="minorHAnsi"/>
        </w:rPr>
        <w:br/>
      </w:r>
      <w:r w:rsidRPr="005E4B87">
        <w:rPr>
          <w:rFonts w:asciiTheme="minorHAnsi" w:eastAsia="Times New Roman" w:hAnsiTheme="minorHAnsi"/>
        </w:rPr>
        <w:br/>
      </w:r>
      <w:hyperlink r:id="rId8" w:history="1">
        <w:r w:rsidRPr="005E4B87">
          <w:rPr>
            <w:rStyle w:val="Hyperlink"/>
            <w:rFonts w:asciiTheme="minorHAnsi" w:eastAsia="Times New Roman" w:hAnsiTheme="minorHAnsi"/>
            <w:b/>
            <w:bCs/>
          </w:rPr>
          <w:t xml:space="preserve">Managing </w:t>
        </w:r>
        <w:proofErr w:type="gramStart"/>
        <w:r w:rsidRPr="005E4B87">
          <w:rPr>
            <w:rStyle w:val="Hyperlink"/>
            <w:rFonts w:asciiTheme="minorHAnsi" w:eastAsia="Times New Roman" w:hAnsiTheme="minorHAnsi"/>
            <w:b/>
            <w:bCs/>
          </w:rPr>
          <w:t>people :</w:t>
        </w:r>
        <w:proofErr w:type="gramEnd"/>
        <w:r w:rsidRPr="005E4B87">
          <w:rPr>
            <w:rStyle w:val="Hyperlink"/>
            <w:rFonts w:asciiTheme="minorHAnsi" w:eastAsia="Times New Roman" w:hAnsiTheme="minorHAnsi"/>
            <w:b/>
            <w:bCs/>
          </w:rPr>
          <w:t xml:space="preserve"> a practical guide for front-line managers</w:t>
        </w:r>
      </w:hyperlink>
      <w:r w:rsidRPr="005E4B87">
        <w:rPr>
          <w:rFonts w:asciiTheme="minorHAnsi" w:eastAsia="Times New Roman" w:hAnsiTheme="minorHAnsi"/>
        </w:rPr>
        <w:br/>
        <w:t xml:space="preserve">Rosemary Thomson &amp; Eileen </w:t>
      </w:r>
      <w:proofErr w:type="spellStart"/>
      <w:r w:rsidRPr="005E4B87">
        <w:rPr>
          <w:rFonts w:asciiTheme="minorHAnsi" w:eastAsia="Times New Roman" w:hAnsiTheme="minorHAnsi"/>
        </w:rPr>
        <w:t>Arney</w:t>
      </w:r>
      <w:proofErr w:type="spellEnd"/>
      <w:r w:rsidRPr="005E4B87">
        <w:rPr>
          <w:rFonts w:asciiTheme="minorHAnsi" w:eastAsia="Times New Roman" w:hAnsiTheme="minorHAnsi"/>
        </w:rPr>
        <w:t>. 4th ed</w:t>
      </w:r>
      <w:proofErr w:type="gramStart"/>
      <w:r w:rsidRPr="005E4B87">
        <w:rPr>
          <w:rFonts w:asciiTheme="minorHAnsi" w:eastAsia="Times New Roman" w:hAnsiTheme="minorHAnsi"/>
        </w:rPr>
        <w:t>..</w:t>
      </w:r>
      <w:proofErr w:type="gramEnd"/>
      <w:r w:rsidRPr="005E4B87">
        <w:rPr>
          <w:rFonts w:asciiTheme="minorHAnsi" w:eastAsia="Times New Roman" w:hAnsiTheme="minorHAnsi"/>
        </w:rPr>
        <w:t xml:space="preserve"> </w:t>
      </w:r>
      <w:proofErr w:type="gramStart"/>
      <w:r w:rsidRPr="005E4B87">
        <w:rPr>
          <w:rFonts w:asciiTheme="minorHAnsi" w:eastAsia="Times New Roman" w:hAnsiTheme="minorHAnsi"/>
        </w:rPr>
        <w:t>Routledge.</w:t>
      </w:r>
      <w:proofErr w:type="gramEnd"/>
      <w:r w:rsidRPr="005E4B87">
        <w:rPr>
          <w:rFonts w:asciiTheme="minorHAnsi" w:eastAsia="Times New Roman" w:hAnsiTheme="minorHAnsi"/>
        </w:rPr>
        <w:t xml:space="preserve"> 2015. Library Shelf Location: HF 120 THO.</w:t>
      </w:r>
      <w:r w:rsidRPr="005E4B87">
        <w:rPr>
          <w:rFonts w:asciiTheme="minorHAnsi" w:eastAsia="Times New Roman" w:hAnsiTheme="minorHAnsi"/>
        </w:rPr>
        <w:br/>
        <w:t>[This updated fourth edition of Managing People: A Practical Guide for Front-Line Managers addresses the growing needs of front-line managers who are not themselves specialists in personnel management but whose roles require them to have these skills. A growing trend over the last two decades has given these managers an increasing amount of responsibility of direct line management, which can be extremely challenging especially if the correct training is not given.]</w:t>
      </w:r>
      <w:r w:rsidRPr="005E4B87">
        <w:rPr>
          <w:rFonts w:asciiTheme="minorHAnsi" w:eastAsia="Times New Roman" w:hAnsiTheme="minorHAnsi"/>
        </w:rPr>
        <w:br/>
      </w:r>
      <w:r w:rsidRPr="005E4B87">
        <w:rPr>
          <w:rFonts w:asciiTheme="minorHAnsi" w:eastAsia="Times New Roman" w:hAnsiTheme="minorHAnsi"/>
          <w:i/>
          <w:iCs/>
        </w:rPr>
        <w:t>Available with appropriate registration or membership</w:t>
      </w:r>
    </w:p>
    <w:p w:rsidR="005E4B87" w:rsidRPr="005E4B87" w:rsidRDefault="005E4B87" w:rsidP="005E4B87">
      <w:pPr>
        <w:pStyle w:val="Heading3"/>
        <w:rPr>
          <w:rFonts w:asciiTheme="minorHAnsi" w:eastAsia="Times New Roman" w:hAnsiTheme="minorHAnsi"/>
          <w:sz w:val="24"/>
          <w:szCs w:val="24"/>
        </w:rPr>
      </w:pPr>
      <w:r w:rsidRPr="005E4B87">
        <w:rPr>
          <w:rFonts w:asciiTheme="minorHAnsi" w:eastAsia="Times New Roman" w:hAnsiTheme="minorHAnsi"/>
          <w:sz w:val="24"/>
          <w:szCs w:val="24"/>
        </w:rPr>
        <w:t>Guidelines</w:t>
      </w:r>
    </w:p>
    <w:p w:rsidR="005E4B87" w:rsidRPr="005E4B87" w:rsidRDefault="005E4B87" w:rsidP="005E4B87">
      <w:pPr>
        <w:spacing w:after="240"/>
        <w:rPr>
          <w:rFonts w:asciiTheme="minorHAnsi" w:eastAsia="Times New Roman" w:hAnsiTheme="minorHAnsi"/>
        </w:rPr>
      </w:pPr>
      <w:r w:rsidRPr="005E4B87">
        <w:rPr>
          <w:rStyle w:val="Emphasis"/>
          <w:rFonts w:asciiTheme="minorHAnsi" w:eastAsia="Times New Roman" w:hAnsiTheme="minorHAnsi"/>
        </w:rPr>
        <w:t>The following new guidance has recently been published</w:t>
      </w:r>
      <w:proofErr w:type="gramStart"/>
      <w:r w:rsidRPr="005E4B87">
        <w:rPr>
          <w:rStyle w:val="Emphasis"/>
          <w:rFonts w:asciiTheme="minorHAnsi" w:eastAsia="Times New Roman" w:hAnsiTheme="minorHAnsi"/>
        </w:rPr>
        <w:t>:</w:t>
      </w:r>
      <w:proofErr w:type="gramEnd"/>
      <w:r w:rsidRPr="005E4B87">
        <w:rPr>
          <w:rFonts w:asciiTheme="minorHAnsi" w:eastAsia="Times New Roman" w:hAnsiTheme="minorHAnsi"/>
        </w:rPr>
        <w:br/>
      </w:r>
      <w:r w:rsidRPr="005E4B87">
        <w:rPr>
          <w:rFonts w:asciiTheme="minorHAnsi" w:eastAsia="Times New Roman" w:hAnsiTheme="minorHAnsi"/>
        </w:rPr>
        <w:br/>
      </w:r>
      <w:hyperlink r:id="rId9" w:history="1">
        <w:r w:rsidRPr="005E4B87">
          <w:rPr>
            <w:rStyle w:val="Hyperlink"/>
            <w:rFonts w:asciiTheme="minorHAnsi" w:eastAsia="Times New Roman" w:hAnsiTheme="minorHAnsi"/>
            <w:b/>
            <w:bCs/>
          </w:rPr>
          <w:t>Language competency: good practice guidance for employers.</w:t>
        </w:r>
      </w:hyperlink>
      <w:r w:rsidRPr="005E4B87">
        <w:rPr>
          <w:rFonts w:asciiTheme="minorHAnsi" w:eastAsia="Times New Roman" w:hAnsiTheme="minorHAnsi"/>
        </w:rPr>
        <w:br/>
        <w:t>NHS Employers</w:t>
      </w:r>
      <w:proofErr w:type="gramStart"/>
      <w:r w:rsidRPr="005E4B87">
        <w:rPr>
          <w:rFonts w:asciiTheme="minorHAnsi" w:eastAsia="Times New Roman" w:hAnsiTheme="minorHAnsi"/>
        </w:rPr>
        <w:t>;2017</w:t>
      </w:r>
      <w:proofErr w:type="gramEnd"/>
      <w:r w:rsidRPr="005E4B87">
        <w:rPr>
          <w:rFonts w:asciiTheme="minorHAnsi" w:eastAsia="Times New Roman" w:hAnsiTheme="minorHAnsi"/>
        </w:rPr>
        <w:t>.</w:t>
      </w:r>
      <w:r w:rsidRPr="005E4B87">
        <w:rPr>
          <w:rFonts w:asciiTheme="minorHAnsi" w:eastAsia="Times New Roman" w:hAnsiTheme="minorHAnsi"/>
        </w:rPr>
        <w:br/>
      </w:r>
      <w:hyperlink r:id="rId10" w:history="1">
        <w:r w:rsidRPr="005E4B87">
          <w:rPr>
            <w:rStyle w:val="Hyperlink"/>
            <w:rFonts w:asciiTheme="minorHAnsi" w:eastAsia="Times New Roman" w:hAnsiTheme="minorHAnsi"/>
          </w:rPr>
          <w:t>http://www.nhsemployers.org/case-studies-and-resources/2017/01/language-competency-good-practice-guidance-for-employers</w:t>
        </w:r>
      </w:hyperlink>
      <w:r w:rsidRPr="005E4B87">
        <w:rPr>
          <w:rFonts w:asciiTheme="minorHAnsi" w:eastAsia="Times New Roman" w:hAnsiTheme="minorHAnsi"/>
        </w:rPr>
        <w:br/>
        <w:t>[This document outlines the importance of language competency assessment and good practice guidance for employers. It reflects current law under the European Directive 2013/55/EU - recognition of professional qualifications, along with recent English language requirements for public facing workers.]</w:t>
      </w:r>
      <w:r w:rsidRPr="005E4B87">
        <w:rPr>
          <w:rFonts w:asciiTheme="minorHAnsi" w:eastAsia="Times New Roman" w:hAnsiTheme="minorHAnsi"/>
        </w:rPr>
        <w:br/>
      </w:r>
      <w:r w:rsidRPr="005E4B87">
        <w:rPr>
          <w:rFonts w:asciiTheme="minorHAnsi" w:eastAsia="Times New Roman" w:hAnsiTheme="minorHAnsi"/>
          <w:i/>
          <w:iCs/>
        </w:rPr>
        <w:t>Freely available online</w:t>
      </w:r>
    </w:p>
    <w:p w:rsidR="005E4B87" w:rsidRPr="005E4B87" w:rsidRDefault="005E4B87" w:rsidP="005E4B87">
      <w:pPr>
        <w:pStyle w:val="Heading3"/>
        <w:rPr>
          <w:rFonts w:asciiTheme="minorHAnsi" w:eastAsia="Times New Roman" w:hAnsiTheme="minorHAnsi"/>
          <w:sz w:val="24"/>
          <w:szCs w:val="24"/>
        </w:rPr>
      </w:pPr>
      <w:r w:rsidRPr="005E4B87">
        <w:rPr>
          <w:rFonts w:asciiTheme="minorHAnsi" w:eastAsia="Times New Roman" w:hAnsiTheme="minorHAnsi"/>
          <w:sz w:val="24"/>
          <w:szCs w:val="24"/>
        </w:rPr>
        <w:t>Reports</w:t>
      </w:r>
    </w:p>
    <w:p w:rsidR="005E4B87" w:rsidRPr="005E4B87" w:rsidRDefault="005E4B87" w:rsidP="005E4B87">
      <w:pPr>
        <w:spacing w:after="240"/>
        <w:rPr>
          <w:rFonts w:asciiTheme="minorHAnsi" w:eastAsia="Times New Roman" w:hAnsiTheme="minorHAnsi"/>
        </w:rPr>
      </w:pPr>
      <w:r w:rsidRPr="005E4B87">
        <w:rPr>
          <w:rStyle w:val="Emphasis"/>
          <w:rFonts w:asciiTheme="minorHAnsi" w:eastAsia="Times New Roman" w:hAnsiTheme="minorHAnsi"/>
        </w:rPr>
        <w:t>The following report(s) may be of interest</w:t>
      </w:r>
      <w:proofErr w:type="gramStart"/>
      <w:r w:rsidRPr="005E4B87">
        <w:rPr>
          <w:rStyle w:val="Emphasis"/>
          <w:rFonts w:asciiTheme="minorHAnsi" w:eastAsia="Times New Roman" w:hAnsiTheme="minorHAnsi"/>
        </w:rPr>
        <w:t>:</w:t>
      </w:r>
      <w:proofErr w:type="gramEnd"/>
      <w:r w:rsidRPr="005E4B87">
        <w:rPr>
          <w:rFonts w:asciiTheme="minorHAnsi" w:eastAsia="Times New Roman" w:hAnsiTheme="minorHAnsi"/>
        </w:rPr>
        <w:br/>
      </w:r>
      <w:r w:rsidRPr="005E4B87">
        <w:rPr>
          <w:rFonts w:asciiTheme="minorHAnsi" w:eastAsia="Times New Roman" w:hAnsiTheme="minorHAnsi"/>
        </w:rPr>
        <w:br/>
      </w:r>
      <w:hyperlink r:id="rId11" w:history="1">
        <w:r w:rsidRPr="005E4B87">
          <w:rPr>
            <w:rStyle w:val="Hyperlink"/>
            <w:rFonts w:asciiTheme="minorHAnsi" w:eastAsia="Times New Roman" w:hAnsiTheme="minorHAnsi"/>
            <w:b/>
            <w:bCs/>
          </w:rPr>
          <w:t>A Framework for Safe, Reliable, and Effective Care.</w:t>
        </w:r>
      </w:hyperlink>
      <w:r w:rsidRPr="005E4B87">
        <w:rPr>
          <w:rFonts w:asciiTheme="minorHAnsi" w:eastAsia="Times New Roman" w:hAnsiTheme="minorHAnsi"/>
        </w:rPr>
        <w:br/>
        <w:t>Institute for Healthcare Improvement; 2017.</w:t>
      </w:r>
      <w:r w:rsidRPr="005E4B87">
        <w:rPr>
          <w:rFonts w:asciiTheme="minorHAnsi" w:eastAsia="Times New Roman" w:hAnsiTheme="minorHAnsi"/>
        </w:rPr>
        <w:br/>
      </w:r>
      <w:hyperlink r:id="rId12" w:history="1">
        <w:r w:rsidRPr="005E4B87">
          <w:rPr>
            <w:rStyle w:val="Hyperlink"/>
            <w:rFonts w:asciiTheme="minorHAnsi" w:eastAsia="Times New Roman" w:hAnsiTheme="minorHAnsi"/>
          </w:rPr>
          <w:t>http://www.ihi.org/resources/Pages/IHIWhitePapers/Framework-Safe-Reliable-Effective-Care.aspx</w:t>
        </w:r>
      </w:hyperlink>
      <w:r w:rsidRPr="005E4B87">
        <w:rPr>
          <w:rFonts w:asciiTheme="minorHAnsi" w:eastAsia="Times New Roman" w:hAnsiTheme="minorHAnsi"/>
        </w:rPr>
        <w:br/>
        <w:t>[IHI white paper. The Framework for Safe, Reliable, and Effective Care provides clarity and direction to health care organizations on the key strategic, clinical, and operational components involved in achieving safe and reliable operational excellence — a "system of safety", not just a collection of stand-alone safety improvement projects.]</w:t>
      </w:r>
      <w:r w:rsidRPr="005E4B87">
        <w:rPr>
          <w:rFonts w:asciiTheme="minorHAnsi" w:eastAsia="Times New Roman" w:hAnsiTheme="minorHAnsi"/>
        </w:rPr>
        <w:br/>
      </w:r>
      <w:proofErr w:type="gramStart"/>
      <w:r w:rsidRPr="005E4B87">
        <w:rPr>
          <w:rFonts w:asciiTheme="minorHAnsi" w:eastAsia="Times New Roman" w:hAnsiTheme="minorHAnsi"/>
          <w:i/>
          <w:iCs/>
        </w:rPr>
        <w:t>Freely available online</w:t>
      </w:r>
      <w:r w:rsidRPr="005E4B87">
        <w:rPr>
          <w:rFonts w:asciiTheme="minorHAnsi" w:eastAsia="Times New Roman" w:hAnsiTheme="minorHAnsi"/>
        </w:rPr>
        <w:br/>
      </w:r>
      <w:r w:rsidRPr="005E4B87">
        <w:rPr>
          <w:rFonts w:asciiTheme="minorHAnsi" w:eastAsia="Times New Roman" w:hAnsiTheme="minorHAnsi"/>
        </w:rPr>
        <w:br/>
      </w:r>
      <w:hyperlink r:id="rId13" w:history="1">
        <w:r w:rsidRPr="005E4B87">
          <w:rPr>
            <w:rStyle w:val="Hyperlink"/>
            <w:rFonts w:asciiTheme="minorHAnsi" w:eastAsia="Times New Roman" w:hAnsiTheme="minorHAnsi"/>
            <w:b/>
            <w:bCs/>
          </w:rPr>
          <w:t>Equality information and equality analysis 2017.</w:t>
        </w:r>
        <w:proofErr w:type="gramEnd"/>
      </w:hyperlink>
      <w:r w:rsidRPr="005E4B87">
        <w:rPr>
          <w:rFonts w:asciiTheme="minorHAnsi" w:eastAsia="Times New Roman" w:hAnsiTheme="minorHAnsi"/>
        </w:rPr>
        <w:br/>
      </w:r>
      <w:proofErr w:type="gramStart"/>
      <w:r w:rsidRPr="005E4B87">
        <w:rPr>
          <w:rFonts w:asciiTheme="minorHAnsi" w:eastAsia="Times New Roman" w:hAnsiTheme="minorHAnsi"/>
        </w:rPr>
        <w:t>Department of Health (DH); 2017.</w:t>
      </w:r>
      <w:proofErr w:type="gramEnd"/>
      <w:r w:rsidRPr="005E4B87">
        <w:rPr>
          <w:rFonts w:asciiTheme="minorHAnsi" w:eastAsia="Times New Roman" w:hAnsiTheme="minorHAnsi"/>
        </w:rPr>
        <w:br/>
      </w:r>
      <w:hyperlink r:id="rId14" w:history="1">
        <w:r w:rsidRPr="005E4B87">
          <w:rPr>
            <w:rStyle w:val="Hyperlink"/>
            <w:rFonts w:asciiTheme="minorHAnsi" w:eastAsia="Times New Roman" w:hAnsiTheme="minorHAnsi"/>
          </w:rPr>
          <w:t>https://www.gov.uk/government/publications/dh-workforce-equality-information-2017</w:t>
        </w:r>
      </w:hyperlink>
      <w:r w:rsidRPr="005E4B87">
        <w:rPr>
          <w:rFonts w:asciiTheme="minorHAnsi" w:eastAsia="Times New Roman" w:hAnsiTheme="minorHAnsi"/>
        </w:rPr>
        <w:br/>
        <w:t xml:space="preserve">[DH workforce equality data: 1 October 2015 to 30 September 2016. </w:t>
      </w:r>
      <w:proofErr w:type="gramStart"/>
      <w:r w:rsidRPr="005E4B87">
        <w:rPr>
          <w:rFonts w:asciiTheme="minorHAnsi" w:eastAsia="Times New Roman" w:hAnsiTheme="minorHAnsi"/>
        </w:rPr>
        <w:t>Contains a breakdown of the department’s workforce on all equality strands.</w:t>
      </w:r>
      <w:proofErr w:type="gramEnd"/>
      <w:r w:rsidRPr="005E4B87">
        <w:rPr>
          <w:rFonts w:asciiTheme="minorHAnsi" w:eastAsia="Times New Roman" w:hAnsiTheme="minorHAnsi"/>
        </w:rPr>
        <w:t xml:space="preserve"> This includes data on: ethnicity; gender; disability; age; working patterns; sexual orientation; religious belief. </w:t>
      </w:r>
      <w:proofErr w:type="gramStart"/>
      <w:r w:rsidRPr="005E4B87">
        <w:rPr>
          <w:rFonts w:asciiTheme="minorHAnsi" w:eastAsia="Times New Roman" w:hAnsiTheme="minorHAnsi"/>
        </w:rPr>
        <w:t>]</w:t>
      </w:r>
      <w:proofErr w:type="gramEnd"/>
      <w:r w:rsidRPr="005E4B87">
        <w:rPr>
          <w:rFonts w:asciiTheme="minorHAnsi" w:eastAsia="Times New Roman" w:hAnsiTheme="minorHAnsi"/>
        </w:rPr>
        <w:br/>
      </w:r>
      <w:r w:rsidRPr="005E4B87">
        <w:rPr>
          <w:rFonts w:asciiTheme="minorHAnsi" w:eastAsia="Times New Roman" w:hAnsiTheme="minorHAnsi"/>
          <w:i/>
          <w:iCs/>
        </w:rPr>
        <w:t>Freely available online</w:t>
      </w:r>
      <w:r w:rsidRPr="005E4B87">
        <w:rPr>
          <w:rFonts w:asciiTheme="minorHAnsi" w:eastAsia="Times New Roman" w:hAnsiTheme="minorHAnsi"/>
        </w:rPr>
        <w:br/>
      </w:r>
      <w:r w:rsidRPr="005E4B87">
        <w:rPr>
          <w:rFonts w:asciiTheme="minorHAnsi" w:eastAsia="Times New Roman" w:hAnsiTheme="minorHAnsi"/>
        </w:rPr>
        <w:br/>
      </w:r>
      <w:hyperlink r:id="rId15" w:history="1">
        <w:r w:rsidRPr="005E4B87">
          <w:rPr>
            <w:rStyle w:val="Hyperlink"/>
            <w:rFonts w:asciiTheme="minorHAnsi" w:eastAsia="Times New Roman" w:hAnsiTheme="minorHAnsi"/>
            <w:b/>
            <w:bCs/>
          </w:rPr>
          <w:t>Priorities for the NHS and social care in 2017.</w:t>
        </w:r>
      </w:hyperlink>
      <w:r w:rsidRPr="005E4B87">
        <w:rPr>
          <w:rFonts w:asciiTheme="minorHAnsi" w:eastAsia="Times New Roman" w:hAnsiTheme="minorHAnsi"/>
        </w:rPr>
        <w:br/>
      </w:r>
      <w:proofErr w:type="gramStart"/>
      <w:r w:rsidRPr="005E4B87">
        <w:rPr>
          <w:rFonts w:asciiTheme="minorHAnsi" w:eastAsia="Times New Roman" w:hAnsiTheme="minorHAnsi"/>
        </w:rPr>
        <w:t>The King's Fund; 2017.</w:t>
      </w:r>
      <w:proofErr w:type="gramEnd"/>
      <w:r w:rsidRPr="005E4B87">
        <w:rPr>
          <w:rFonts w:asciiTheme="minorHAnsi" w:eastAsia="Times New Roman" w:hAnsiTheme="minorHAnsi"/>
        </w:rPr>
        <w:br/>
      </w:r>
      <w:hyperlink r:id="rId16" w:history="1">
        <w:r w:rsidRPr="005E4B87">
          <w:rPr>
            <w:rStyle w:val="Hyperlink"/>
            <w:rFonts w:asciiTheme="minorHAnsi" w:eastAsia="Times New Roman" w:hAnsiTheme="minorHAnsi"/>
          </w:rPr>
          <w:t>https://www.kingsfund.org.uk/publications/priorities-nhs-social-care-2017</w:t>
        </w:r>
      </w:hyperlink>
      <w:r w:rsidRPr="005E4B87">
        <w:rPr>
          <w:rFonts w:asciiTheme="minorHAnsi" w:eastAsia="Times New Roman" w:hAnsiTheme="minorHAnsi"/>
        </w:rPr>
        <w:br/>
        <w:t>[2017 promises to be another challenging year for the health and care system, with demand for care increasing faster than the supply of resources. The King's Fund has identified: Supporting new care models centred on the needs of patients; Strengthening and implementing sustainability and transformation plans; Improving productivity and delivering better value; Developing and strengthening leadership at all levels; Securing adequate funding for health and social care; ]</w:t>
      </w:r>
      <w:r w:rsidRPr="005E4B87">
        <w:rPr>
          <w:rFonts w:asciiTheme="minorHAnsi" w:eastAsia="Times New Roman" w:hAnsiTheme="minorHAnsi"/>
        </w:rPr>
        <w:br/>
      </w:r>
      <w:r w:rsidRPr="005E4B87">
        <w:rPr>
          <w:rFonts w:asciiTheme="minorHAnsi" w:eastAsia="Times New Roman" w:hAnsiTheme="minorHAnsi"/>
          <w:i/>
          <w:iCs/>
        </w:rPr>
        <w:t>Freely available online</w:t>
      </w:r>
      <w:r w:rsidRPr="005E4B87">
        <w:rPr>
          <w:rFonts w:asciiTheme="minorHAnsi" w:eastAsia="Times New Roman" w:hAnsiTheme="minorHAnsi"/>
        </w:rPr>
        <w:br/>
      </w:r>
      <w:r w:rsidRPr="005E4B87">
        <w:rPr>
          <w:rFonts w:asciiTheme="minorHAnsi" w:eastAsia="Times New Roman" w:hAnsiTheme="minorHAnsi"/>
        </w:rPr>
        <w:br/>
      </w:r>
      <w:hyperlink r:id="rId17" w:history="1">
        <w:r w:rsidRPr="005E4B87">
          <w:rPr>
            <w:rStyle w:val="Hyperlink"/>
            <w:rFonts w:asciiTheme="minorHAnsi" w:eastAsia="Times New Roman" w:hAnsiTheme="minorHAnsi"/>
            <w:b/>
            <w:bCs/>
          </w:rPr>
          <w:t>Safe staffing for adult inpatients in acute care: draft improvement guide.</w:t>
        </w:r>
      </w:hyperlink>
      <w:r w:rsidRPr="005E4B87">
        <w:rPr>
          <w:rFonts w:asciiTheme="minorHAnsi" w:eastAsia="Times New Roman" w:hAnsiTheme="minorHAnsi"/>
        </w:rPr>
        <w:br/>
      </w:r>
      <w:proofErr w:type="gramStart"/>
      <w:r w:rsidRPr="005E4B87">
        <w:rPr>
          <w:rFonts w:asciiTheme="minorHAnsi" w:eastAsia="Times New Roman" w:hAnsiTheme="minorHAnsi"/>
        </w:rPr>
        <w:t>NHS Improvement; 2016.</w:t>
      </w:r>
      <w:proofErr w:type="gramEnd"/>
      <w:r w:rsidRPr="005E4B87">
        <w:rPr>
          <w:rFonts w:asciiTheme="minorHAnsi" w:eastAsia="Times New Roman" w:hAnsiTheme="minorHAnsi"/>
        </w:rPr>
        <w:br/>
      </w:r>
      <w:hyperlink r:id="rId18" w:history="1">
        <w:r w:rsidRPr="005E4B87">
          <w:rPr>
            <w:rStyle w:val="Hyperlink"/>
            <w:rFonts w:asciiTheme="minorHAnsi" w:eastAsia="Times New Roman" w:hAnsiTheme="minorHAnsi"/>
          </w:rPr>
          <w:t>https://improvement.nhs.uk/resources/safe-staffing-improvement-resources-adult-inpatient-acute-care/</w:t>
        </w:r>
      </w:hyperlink>
      <w:r w:rsidRPr="005E4B87">
        <w:rPr>
          <w:rFonts w:asciiTheme="minorHAnsi" w:eastAsia="Times New Roman" w:hAnsiTheme="minorHAnsi"/>
        </w:rPr>
        <w:br/>
        <w:t xml:space="preserve">[A draft guide to help standardise staffing decisions in adult inpatient wards in acute </w:t>
      </w:r>
      <w:proofErr w:type="spellStart"/>
      <w:r w:rsidRPr="005E4B87">
        <w:rPr>
          <w:rFonts w:asciiTheme="minorHAnsi" w:eastAsia="Times New Roman" w:hAnsiTheme="minorHAnsi"/>
        </w:rPr>
        <w:t>hospitals.Includes</w:t>
      </w:r>
      <w:proofErr w:type="spellEnd"/>
      <w:r w:rsidRPr="005E4B87">
        <w:rPr>
          <w:rFonts w:asciiTheme="minorHAnsi" w:eastAsia="Times New Roman" w:hAnsiTheme="minorHAnsi"/>
        </w:rPr>
        <w:t xml:space="preserve"> the draft resource, appendices (Principles of professional judgement, The NICE guideline on safe staffing for nursing in adult inpatient wards and red flags and CHPPD ‘ready reckoner') and an evidence review. Consultation closes at 5pm on Friday 3 February 2017</w:t>
      </w:r>
      <w:proofErr w:type="gramStart"/>
      <w:r w:rsidRPr="005E4B87">
        <w:rPr>
          <w:rFonts w:asciiTheme="minorHAnsi" w:eastAsia="Times New Roman" w:hAnsiTheme="minorHAnsi"/>
        </w:rPr>
        <w:t>]</w:t>
      </w:r>
      <w:proofErr w:type="gramEnd"/>
      <w:r w:rsidRPr="005E4B87">
        <w:rPr>
          <w:rFonts w:asciiTheme="minorHAnsi" w:eastAsia="Times New Roman" w:hAnsiTheme="minorHAnsi"/>
        </w:rPr>
        <w:br/>
      </w:r>
      <w:r w:rsidRPr="005E4B87">
        <w:rPr>
          <w:rFonts w:asciiTheme="minorHAnsi" w:eastAsia="Times New Roman" w:hAnsiTheme="minorHAnsi"/>
          <w:i/>
          <w:iCs/>
        </w:rPr>
        <w:t>Freely available online</w:t>
      </w:r>
      <w:r w:rsidRPr="005E4B87">
        <w:rPr>
          <w:rFonts w:asciiTheme="minorHAnsi" w:eastAsia="Times New Roman" w:hAnsiTheme="minorHAnsi"/>
        </w:rPr>
        <w:br/>
      </w:r>
      <w:r w:rsidRPr="005E4B87">
        <w:rPr>
          <w:rFonts w:asciiTheme="minorHAnsi" w:eastAsia="Times New Roman" w:hAnsiTheme="minorHAnsi"/>
        </w:rPr>
        <w:br/>
      </w:r>
      <w:hyperlink r:id="rId19" w:history="1">
        <w:r w:rsidRPr="005E4B87">
          <w:rPr>
            <w:rStyle w:val="Hyperlink"/>
            <w:rFonts w:asciiTheme="minorHAnsi" w:eastAsia="Times New Roman" w:hAnsiTheme="minorHAnsi"/>
            <w:b/>
            <w:bCs/>
          </w:rPr>
          <w:t>Swimming together or sinking alone: health, care and the art of systems leadership.</w:t>
        </w:r>
      </w:hyperlink>
      <w:bookmarkStart w:id="0" w:name="_GoBack"/>
      <w:bookmarkEnd w:id="0"/>
      <w:r w:rsidRPr="005E4B87">
        <w:rPr>
          <w:rFonts w:asciiTheme="minorHAnsi" w:eastAsia="Times New Roman" w:hAnsiTheme="minorHAnsi"/>
        </w:rPr>
        <w:br/>
      </w:r>
      <w:proofErr w:type="gramStart"/>
      <w:r w:rsidRPr="005E4B87">
        <w:rPr>
          <w:rFonts w:asciiTheme="minorHAnsi" w:eastAsia="Times New Roman" w:hAnsiTheme="minorHAnsi"/>
        </w:rPr>
        <w:t>Institute of Healthcare Management; 2017.</w:t>
      </w:r>
      <w:proofErr w:type="gramEnd"/>
      <w:r w:rsidRPr="005E4B87">
        <w:rPr>
          <w:rFonts w:asciiTheme="minorHAnsi" w:eastAsia="Times New Roman" w:hAnsiTheme="minorHAnsi"/>
        </w:rPr>
        <w:br/>
      </w:r>
      <w:hyperlink r:id="rId20" w:history="1">
        <w:r w:rsidRPr="005E4B87">
          <w:rPr>
            <w:rStyle w:val="Hyperlink"/>
            <w:rFonts w:asciiTheme="minorHAnsi" w:eastAsia="Times New Roman" w:hAnsiTheme="minorHAnsi"/>
          </w:rPr>
          <w:t>https://ihm.org.uk/stp-report-swimming-together-or-sinking-alone</w:t>
        </w:r>
      </w:hyperlink>
      <w:r w:rsidRPr="005E4B87">
        <w:rPr>
          <w:rFonts w:asciiTheme="minorHAnsi" w:eastAsia="Times New Roman" w:hAnsiTheme="minorHAnsi"/>
        </w:rPr>
        <w:br/>
        <w:t>[The report will help leaders understand the values, culture and skills they need to survive and thrive as the NHS tries to change from organisations working in silos to local health and care networks focussed on the needs of patients.]</w:t>
      </w:r>
    </w:p>
    <w:p w:rsidR="005E4B87" w:rsidRPr="000A4D72" w:rsidRDefault="005E4B87" w:rsidP="000A4D72">
      <w:pPr>
        <w:pStyle w:val="Heading2"/>
        <w:jc w:val="center"/>
        <w:rPr>
          <w:rFonts w:asciiTheme="minorHAnsi" w:eastAsia="Times New Roman" w:hAnsiTheme="minorHAnsi"/>
        </w:rPr>
      </w:pPr>
    </w:p>
    <w:p w:rsidR="000A4D72" w:rsidRDefault="000A4D72" w:rsidP="000A4D72">
      <w:pPr>
        <w:spacing w:after="240"/>
        <w:rPr>
          <w:rFonts w:asciiTheme="minorHAnsi" w:eastAsia="Times New Roman" w:hAnsiTheme="minorHAnsi"/>
          <w:b/>
          <w:iCs/>
          <w:sz w:val="32"/>
          <w:szCs w:val="32"/>
        </w:rPr>
      </w:pPr>
      <w:r>
        <w:rPr>
          <w:rFonts w:asciiTheme="minorHAnsi" w:eastAsia="Times New Roman" w:hAnsiTheme="minorHAnsi"/>
          <w:b/>
          <w:iCs/>
          <w:sz w:val="32"/>
          <w:szCs w:val="32"/>
        </w:rPr>
        <w:t xml:space="preserve">For further information contact GHNHSFT Library Services </w:t>
      </w:r>
    </w:p>
    <w:p w:rsidR="000A4D72" w:rsidRDefault="005E4B87" w:rsidP="000A4D72">
      <w:pPr>
        <w:spacing w:after="240"/>
        <w:rPr>
          <w:rFonts w:asciiTheme="minorHAnsi" w:eastAsia="Times New Roman" w:hAnsiTheme="minorHAnsi"/>
          <w:iCs/>
        </w:rPr>
      </w:pPr>
      <w:hyperlink r:id="rId21" w:history="1">
        <w:r w:rsidR="000A4D72">
          <w:rPr>
            <w:rStyle w:val="Hyperlink"/>
            <w:rFonts w:asciiTheme="minorHAnsi" w:eastAsia="Times New Roman" w:hAnsiTheme="minorHAnsi"/>
            <w:iCs/>
          </w:rPr>
          <w:t>ghn-tr.libraryGHNHSFT@nhs.net</w:t>
        </w:r>
      </w:hyperlink>
    </w:p>
    <w:p w:rsidR="000A4D72" w:rsidRDefault="000A4D72" w:rsidP="000A4D72">
      <w:pPr>
        <w:spacing w:after="240"/>
        <w:rPr>
          <w:rFonts w:asciiTheme="minorHAnsi" w:eastAsia="Times New Roman" w:hAnsiTheme="minorHAnsi"/>
          <w:iCs/>
        </w:rPr>
      </w:pPr>
      <w:proofErr w:type="gramStart"/>
      <w:r>
        <w:rPr>
          <w:rFonts w:asciiTheme="minorHAnsi" w:eastAsia="Times New Roman" w:hAnsiTheme="minorHAnsi"/>
          <w:iCs/>
        </w:rPr>
        <w:t>GRH  0300422</w:t>
      </w:r>
      <w:proofErr w:type="gramEnd"/>
      <w:r>
        <w:rPr>
          <w:rFonts w:asciiTheme="minorHAnsi" w:eastAsia="Times New Roman" w:hAnsiTheme="minorHAnsi"/>
          <w:iCs/>
        </w:rPr>
        <w:t xml:space="preserve"> 6495</w:t>
      </w:r>
    </w:p>
    <w:p w:rsidR="000A4D72" w:rsidRDefault="000A4D72" w:rsidP="000A4D72">
      <w:pPr>
        <w:tabs>
          <w:tab w:val="left" w:pos="2295"/>
        </w:tabs>
        <w:spacing w:after="240"/>
        <w:rPr>
          <w:rFonts w:asciiTheme="minorHAnsi" w:eastAsia="Times New Roman" w:hAnsiTheme="minorHAnsi"/>
        </w:rPr>
      </w:pPr>
      <w:r>
        <w:rPr>
          <w:rFonts w:asciiTheme="minorHAnsi" w:eastAsia="Times New Roman" w:hAnsiTheme="minorHAnsi"/>
          <w:iCs/>
        </w:rPr>
        <w:t>CGH 0300422 3036</w:t>
      </w:r>
      <w:r>
        <w:rPr>
          <w:rFonts w:asciiTheme="minorHAnsi" w:eastAsia="Times New Roman" w:hAnsiTheme="minorHAnsi"/>
          <w:iCs/>
        </w:rPr>
        <w:tab/>
      </w:r>
    </w:p>
    <w:p w:rsidR="000A4D72" w:rsidRPr="00A550D5" w:rsidRDefault="000A4D72" w:rsidP="000A4D72">
      <w:pPr>
        <w:spacing w:after="240"/>
        <w:rPr>
          <w:rFonts w:ascii="Calibri" w:eastAsia="Times New Roman" w:hAnsi="Calibri" w:cs="Arial"/>
        </w:rPr>
      </w:pPr>
      <w:r>
        <w:rPr>
          <w:rFonts w:eastAsia="Times New Roman"/>
          <w:noProof/>
        </w:rPr>
        <w:drawing>
          <wp:inline distT="0" distB="0" distL="0" distR="0" wp14:anchorId="0A315BDD" wp14:editId="229DF3B9">
            <wp:extent cx="1524000" cy="733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ks_logo_24.jpg"/>
                    <pic:cNvPicPr/>
                  </pic:nvPicPr>
                  <pic:blipFill>
                    <a:blip r:embed="rId22">
                      <a:extLst>
                        <a:ext uri="{28A0092B-C50C-407E-A947-70E740481C1C}">
                          <a14:useLocalDpi xmlns:a14="http://schemas.microsoft.com/office/drawing/2010/main" val="0"/>
                        </a:ext>
                      </a:extLst>
                    </a:blip>
                    <a:stretch>
                      <a:fillRect/>
                    </a:stretch>
                  </pic:blipFill>
                  <pic:spPr>
                    <a:xfrm>
                      <a:off x="0" y="0"/>
                      <a:ext cx="1524000" cy="733425"/>
                    </a:xfrm>
                    <a:prstGeom prst="rect">
                      <a:avLst/>
                    </a:prstGeom>
                  </pic:spPr>
                </pic:pic>
              </a:graphicData>
            </a:graphic>
          </wp:inline>
        </w:drawing>
      </w:r>
    </w:p>
    <w:p w:rsidR="000A4D72" w:rsidRPr="000A4D72" w:rsidRDefault="000A4D72">
      <w:pPr>
        <w:spacing w:after="240"/>
        <w:rPr>
          <w:rFonts w:asciiTheme="minorHAnsi" w:eastAsia="Times New Roman" w:hAnsiTheme="minorHAnsi"/>
        </w:rPr>
      </w:pPr>
    </w:p>
    <w:sectPr w:rsidR="000A4D72" w:rsidRPr="000A4D72" w:rsidSect="00B621E3">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B94288"/>
    <w:rsid w:val="000A4D72"/>
    <w:rsid w:val="005E4B87"/>
    <w:rsid w:val="008102F2"/>
    <w:rsid w:val="009B34F0"/>
    <w:rsid w:val="00B621E3"/>
    <w:rsid w:val="00B94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0A4D72"/>
    <w:rPr>
      <w:rFonts w:ascii="Tahoma" w:hAnsi="Tahoma" w:cs="Tahoma"/>
      <w:sz w:val="16"/>
      <w:szCs w:val="16"/>
    </w:rPr>
  </w:style>
  <w:style w:type="character" w:customStyle="1" w:styleId="BalloonTextChar">
    <w:name w:val="Balloon Text Char"/>
    <w:basedOn w:val="DefaultParagraphFont"/>
    <w:link w:val="BalloonText"/>
    <w:uiPriority w:val="99"/>
    <w:semiHidden/>
    <w:rsid w:val="000A4D72"/>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0A4D72"/>
    <w:rPr>
      <w:rFonts w:ascii="Tahoma" w:hAnsi="Tahoma" w:cs="Tahoma"/>
      <w:sz w:val="16"/>
      <w:szCs w:val="16"/>
    </w:rPr>
  </w:style>
  <w:style w:type="character" w:customStyle="1" w:styleId="BalloonTextChar">
    <w:name w:val="Balloon Text Char"/>
    <w:basedOn w:val="DefaultParagraphFont"/>
    <w:link w:val="BalloonText"/>
    <w:uiPriority w:val="99"/>
    <w:semiHidden/>
    <w:rsid w:val="000A4D72"/>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am.koha-ptfs.co.uk/cgi-bin/koha/opac-detail.pl?biblionumber=30238" TargetMode="External"/><Relationship Id="rId13" Type="http://schemas.openxmlformats.org/officeDocument/2006/relationships/hyperlink" Target="https://www.gov.uk/government/publications/dh-workforce-equality-information-2017" TargetMode="External"/><Relationship Id="rId18" Type="http://schemas.openxmlformats.org/officeDocument/2006/relationships/hyperlink" Target="https://improvement.nhs.uk/resources/safe-staffing-improvement-resources-adult-inpatient-acute-care/" TargetMode="External"/><Relationship Id="rId3" Type="http://schemas.openxmlformats.org/officeDocument/2006/relationships/settings" Target="settings.xml"/><Relationship Id="rId21" Type="http://schemas.openxmlformats.org/officeDocument/2006/relationships/hyperlink" Target="mailto:ghn-tr.libraryGHNHSFT@nhs.net" TargetMode="External"/><Relationship Id="rId7" Type="http://schemas.openxmlformats.org/officeDocument/2006/relationships/hyperlink" Target="http://journals.sagepub.com/doi/full/10.1177/1356262216682113" TargetMode="External"/><Relationship Id="rId12" Type="http://schemas.openxmlformats.org/officeDocument/2006/relationships/hyperlink" Target="http://www.ihi.org/resources/Pages/IHIWhitePapers/Framework-Safe-Reliable-Effective-Care.aspx" TargetMode="External"/><Relationship Id="rId17" Type="http://schemas.openxmlformats.org/officeDocument/2006/relationships/hyperlink" Target="https://improvement.nhs.uk/resources/safe-staffing-improvement-resources-adult-inpatient-acute-care/" TargetMode="External"/><Relationship Id="rId2" Type="http://schemas.microsoft.com/office/2007/relationships/stylesWithEffects" Target="stylesWithEffects.xml"/><Relationship Id="rId16" Type="http://schemas.openxmlformats.org/officeDocument/2006/relationships/hyperlink" Target="https://www.kingsfund.org.uk/publications/priorities-nhs-social-care-2017" TargetMode="External"/><Relationship Id="rId20" Type="http://schemas.openxmlformats.org/officeDocument/2006/relationships/hyperlink" Target="https://ihm.org.uk/stp-report-swimming-together-or-sinking-alone"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www.ihi.org/resources/Pages/IHIWhitePapers/Framework-Safe-Reliable-Effective-Care.aspx"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kingsfund.org.uk/publications/priorities-nhs-social-care-2017" TargetMode="External"/><Relationship Id="rId23" Type="http://schemas.openxmlformats.org/officeDocument/2006/relationships/fontTable" Target="fontTable.xml"/><Relationship Id="rId10" Type="http://schemas.openxmlformats.org/officeDocument/2006/relationships/hyperlink" Target="http://www.nhsemployers.org/case-studies-and-resources/2017/01/language-competency-good-practice-guidance-for-employers" TargetMode="External"/><Relationship Id="rId19" Type="http://schemas.openxmlformats.org/officeDocument/2006/relationships/hyperlink" Target="https://ihm.org.uk/stp-report-swimming-together-or-sinking-alone" TargetMode="External"/><Relationship Id="rId4" Type="http://schemas.openxmlformats.org/officeDocument/2006/relationships/webSettings" Target="webSettings.xml"/><Relationship Id="rId9" Type="http://schemas.openxmlformats.org/officeDocument/2006/relationships/hyperlink" Target="http://www.nhsemployers.org/case-studies-and-resources/2017/01/language-competency-good-practice-guidance-for-employers" TargetMode="External"/><Relationship Id="rId14" Type="http://schemas.openxmlformats.org/officeDocument/2006/relationships/hyperlink" Target="https://www.gov.uk/government/publications/dh-workforce-equality-information-2017" TargetMode="External"/><Relationship Id="rId2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6119</Characters>
  <Application>Microsoft Office Word</Application>
  <DocSecurity>4</DocSecurity>
  <Lines>50</Lines>
  <Paragraphs>13</Paragraphs>
  <ScaleCrop>false</ScaleCrop>
  <HeadingPairs>
    <vt:vector size="2" baseType="variant">
      <vt:variant>
        <vt:lpstr>Title</vt:lpstr>
      </vt:variant>
      <vt:variant>
        <vt:i4>1</vt:i4>
      </vt:variant>
    </vt:vector>
  </HeadingPairs>
  <TitlesOfParts>
    <vt:vector size="1" baseType="lpstr">
      <vt:lpstr/>
    </vt:vector>
  </TitlesOfParts>
  <Company>Gloucestershire NHS</Company>
  <LinksUpToDate>false</LinksUpToDate>
  <CharactersWithSpaces>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Account</dc:creator>
  <cp:lastModifiedBy>Riddington Lisa</cp:lastModifiedBy>
  <cp:revision>2</cp:revision>
  <cp:lastPrinted>2016-06-22T13:07:00Z</cp:lastPrinted>
  <dcterms:created xsi:type="dcterms:W3CDTF">2017-02-06T12:41:00Z</dcterms:created>
  <dcterms:modified xsi:type="dcterms:W3CDTF">2017-02-06T12:41:00Z</dcterms:modified>
</cp:coreProperties>
</file>